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6555" w14:textId="77777777" w:rsidR="006B5F14" w:rsidRPr="009B6476" w:rsidRDefault="006B5F14" w:rsidP="006B5F14">
      <w:pPr>
        <w:tabs>
          <w:tab w:val="left" w:pos="2490"/>
        </w:tabs>
        <w:rPr>
          <w:rFonts w:ascii="Arial" w:hAnsi="Arial" w:cs="Arial"/>
          <w:b/>
          <w:sz w:val="21"/>
          <w:szCs w:val="21"/>
        </w:rPr>
      </w:pPr>
      <w:r w:rsidRPr="009B6476">
        <w:rPr>
          <w:rFonts w:ascii="Arial" w:hAnsi="Arial" w:cs="Arial"/>
          <w:b/>
          <w:sz w:val="21"/>
          <w:szCs w:val="21"/>
        </w:rPr>
        <w:t>Background</w:t>
      </w:r>
    </w:p>
    <w:p w14:paraId="75C35CEB" w14:textId="77777777" w:rsidR="006B5F14" w:rsidRPr="009B6476" w:rsidRDefault="006B5F14" w:rsidP="006B5F14">
      <w:pPr>
        <w:widowControl w:val="0"/>
        <w:autoSpaceDE w:val="0"/>
        <w:autoSpaceDN w:val="0"/>
        <w:adjustRightInd w:val="0"/>
        <w:ind w:left="180"/>
        <w:jc w:val="both"/>
        <w:rPr>
          <w:rFonts w:ascii="Arial" w:hAnsi="Arial" w:cs="Arial"/>
          <w:b/>
          <w:sz w:val="21"/>
          <w:szCs w:val="21"/>
        </w:rPr>
      </w:pPr>
    </w:p>
    <w:p w14:paraId="62D0AAEA"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Under the Equality Act 2010 (Gender Pay Gap Information) Regulations 2017 all private sector and voluntary sector employers with 250 employees or more are required to publish a range of data based on a standard methodology. These same rules apply to the public sector under the Equality Act 2010 (Specific Duties and Public Authorities) Regulations 2017.</w:t>
      </w:r>
    </w:p>
    <w:p w14:paraId="7A39C379" w14:textId="77777777" w:rsidR="006B5F14" w:rsidRPr="009B6476" w:rsidRDefault="006B5F14" w:rsidP="006B5F14">
      <w:pPr>
        <w:widowControl w:val="0"/>
        <w:autoSpaceDE w:val="0"/>
        <w:autoSpaceDN w:val="0"/>
        <w:adjustRightInd w:val="0"/>
        <w:jc w:val="both"/>
        <w:rPr>
          <w:rFonts w:ascii="Arial" w:hAnsi="Arial" w:cs="Arial"/>
          <w:sz w:val="21"/>
          <w:szCs w:val="21"/>
        </w:rPr>
      </w:pPr>
    </w:p>
    <w:p w14:paraId="150CEB73"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All employers were required to publish their gender pay gap within the period of 12 months beginning with the snapshot date on 31</w:t>
      </w:r>
      <w:r w:rsidRPr="009B6476">
        <w:rPr>
          <w:rFonts w:ascii="Arial" w:hAnsi="Arial" w:cs="Arial"/>
          <w:sz w:val="21"/>
          <w:szCs w:val="21"/>
          <w:vertAlign w:val="superscript"/>
        </w:rPr>
        <w:t>st</w:t>
      </w:r>
      <w:r w:rsidRPr="009B6476">
        <w:rPr>
          <w:rFonts w:ascii="Arial" w:hAnsi="Arial" w:cs="Arial"/>
          <w:sz w:val="21"/>
          <w:szCs w:val="21"/>
        </w:rPr>
        <w:t xml:space="preserve"> March 2022 for public sector employers. This meant that the report is due by 30</w:t>
      </w:r>
      <w:r w:rsidRPr="009B6476">
        <w:rPr>
          <w:rFonts w:ascii="Arial" w:hAnsi="Arial" w:cs="Arial"/>
          <w:sz w:val="21"/>
          <w:szCs w:val="21"/>
          <w:vertAlign w:val="superscript"/>
        </w:rPr>
        <w:t>th</w:t>
      </w:r>
      <w:r w:rsidRPr="009B6476">
        <w:rPr>
          <w:rFonts w:ascii="Arial" w:hAnsi="Arial" w:cs="Arial"/>
          <w:sz w:val="21"/>
          <w:szCs w:val="21"/>
        </w:rPr>
        <w:t xml:space="preserve"> March 2023. Following publication, the information must be then maintained on the organisation’s web site for a minimum of three years. The first gender pay gap snapshot date was 31</w:t>
      </w:r>
      <w:r w:rsidRPr="009B6476">
        <w:rPr>
          <w:rFonts w:ascii="Arial" w:hAnsi="Arial" w:cs="Arial"/>
          <w:sz w:val="21"/>
          <w:szCs w:val="21"/>
          <w:vertAlign w:val="superscript"/>
        </w:rPr>
        <w:t>st</w:t>
      </w:r>
      <w:r w:rsidRPr="009B6476">
        <w:rPr>
          <w:rFonts w:ascii="Arial" w:hAnsi="Arial" w:cs="Arial"/>
          <w:sz w:val="21"/>
          <w:szCs w:val="21"/>
        </w:rPr>
        <w:t xml:space="preserve"> March 2017 and information relating to that gender pay gap is also currently displayed on the College website along with reports from other years. All employees who are paid their usual full pay on the snapshot date must be included in the calculations.</w:t>
      </w:r>
    </w:p>
    <w:p w14:paraId="2BB1633C" w14:textId="77777777" w:rsidR="006B5F14" w:rsidRPr="009B6476" w:rsidRDefault="006B5F14" w:rsidP="006B5F14">
      <w:pPr>
        <w:widowControl w:val="0"/>
        <w:autoSpaceDE w:val="0"/>
        <w:autoSpaceDN w:val="0"/>
        <w:adjustRightInd w:val="0"/>
        <w:ind w:left="180"/>
        <w:jc w:val="both"/>
        <w:rPr>
          <w:rFonts w:ascii="Arial" w:hAnsi="Arial" w:cs="Arial"/>
          <w:sz w:val="21"/>
          <w:szCs w:val="21"/>
          <w:highlight w:val="yellow"/>
        </w:rPr>
      </w:pPr>
    </w:p>
    <w:p w14:paraId="4F38C113"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There is still no legal requirement for companies to publish their ethnicity pay gap. A report last year by the Commission for Race and Ethnic Disparities recommended that the practice remain voluntary due to a lack of diversity in some parts of the country although there remains a powerful lobby to make ethnicity pay gap reporting mandatory from 2023.</w:t>
      </w:r>
    </w:p>
    <w:p w14:paraId="4F53CC4B" w14:textId="77777777" w:rsidR="006B5F14" w:rsidRPr="009B6476" w:rsidRDefault="006B5F14" w:rsidP="006B5F14">
      <w:pPr>
        <w:widowControl w:val="0"/>
        <w:autoSpaceDE w:val="0"/>
        <w:autoSpaceDN w:val="0"/>
        <w:adjustRightInd w:val="0"/>
        <w:ind w:left="180"/>
        <w:jc w:val="both"/>
        <w:rPr>
          <w:rFonts w:ascii="Arial" w:hAnsi="Arial" w:cs="Arial"/>
          <w:sz w:val="21"/>
          <w:szCs w:val="21"/>
          <w:highlight w:val="yellow"/>
        </w:rPr>
      </w:pPr>
    </w:p>
    <w:p w14:paraId="5CD143A5"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In view of this potential legislation and the importance of the College’s anti-racism agenda information is also included looking at the ethnicity pay gap within the College on the same date.</w:t>
      </w:r>
    </w:p>
    <w:p w14:paraId="631CE815"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670050FB"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This report sets out the data which would ordinarily need to be reported plus some further analysis and a brief outline of measures being taken in respect of the race equality pay gap.</w:t>
      </w:r>
    </w:p>
    <w:p w14:paraId="122FA7D8"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4946CA35" w14:textId="77777777" w:rsidR="006B5F14" w:rsidRPr="009B6476" w:rsidRDefault="006B5F14" w:rsidP="006B5F14">
      <w:pPr>
        <w:widowControl w:val="0"/>
        <w:autoSpaceDE w:val="0"/>
        <w:autoSpaceDN w:val="0"/>
        <w:adjustRightInd w:val="0"/>
        <w:ind w:left="180"/>
        <w:jc w:val="both"/>
        <w:rPr>
          <w:rFonts w:ascii="Arial" w:hAnsi="Arial" w:cs="Arial"/>
          <w:b/>
          <w:sz w:val="21"/>
          <w:szCs w:val="21"/>
        </w:rPr>
      </w:pPr>
      <w:r w:rsidRPr="009B6476">
        <w:rPr>
          <w:rFonts w:ascii="Arial" w:hAnsi="Arial" w:cs="Arial"/>
          <w:b/>
          <w:sz w:val="21"/>
          <w:szCs w:val="21"/>
        </w:rPr>
        <w:t>Reporting requirements for Gender Equality Pay Gap</w:t>
      </w:r>
    </w:p>
    <w:p w14:paraId="3BC82AB2"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091AC788"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 statutory regulations require the publication of the following information:</w:t>
      </w:r>
    </w:p>
    <w:p w14:paraId="63657037"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458ED695"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difference in the mean </w:t>
      </w:r>
      <w:proofErr w:type="gramStart"/>
      <w:r w:rsidRPr="009B6476">
        <w:rPr>
          <w:rFonts w:ascii="Arial" w:hAnsi="Arial" w:cs="Arial"/>
          <w:sz w:val="21"/>
          <w:szCs w:val="21"/>
        </w:rPr>
        <w:t>pay</w:t>
      </w:r>
      <w:proofErr w:type="gramEnd"/>
      <w:r w:rsidRPr="009B6476">
        <w:rPr>
          <w:rFonts w:ascii="Arial" w:hAnsi="Arial" w:cs="Arial"/>
          <w:sz w:val="21"/>
          <w:szCs w:val="21"/>
        </w:rPr>
        <w:t xml:space="preserve"> of full pay men and women expressed as a percentage</w:t>
      </w:r>
    </w:p>
    <w:p w14:paraId="13CADB7D"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difference in the median pay of full pay men and women expressed as a </w:t>
      </w:r>
      <w:proofErr w:type="gramStart"/>
      <w:r w:rsidRPr="009B6476">
        <w:rPr>
          <w:rFonts w:ascii="Arial" w:hAnsi="Arial" w:cs="Arial"/>
          <w:sz w:val="21"/>
          <w:szCs w:val="21"/>
        </w:rPr>
        <w:t>percentage</w:t>
      </w:r>
      <w:proofErr w:type="gramEnd"/>
    </w:p>
    <w:p w14:paraId="6852F737"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difference in the mean bonus </w:t>
      </w:r>
      <w:proofErr w:type="gramStart"/>
      <w:r w:rsidRPr="009B6476">
        <w:rPr>
          <w:rFonts w:ascii="Arial" w:hAnsi="Arial" w:cs="Arial"/>
          <w:sz w:val="21"/>
          <w:szCs w:val="21"/>
        </w:rPr>
        <w:t>pay</w:t>
      </w:r>
      <w:proofErr w:type="gramEnd"/>
      <w:r w:rsidRPr="009B6476">
        <w:rPr>
          <w:rFonts w:ascii="Arial" w:hAnsi="Arial" w:cs="Arial"/>
          <w:sz w:val="21"/>
          <w:szCs w:val="21"/>
        </w:rPr>
        <w:t xml:space="preserve"> of full pay men and women expressed as a percentage</w:t>
      </w:r>
    </w:p>
    <w:p w14:paraId="51E2EAA5"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difference in the median bonus </w:t>
      </w:r>
      <w:proofErr w:type="gramStart"/>
      <w:r w:rsidRPr="009B6476">
        <w:rPr>
          <w:rFonts w:ascii="Arial" w:hAnsi="Arial" w:cs="Arial"/>
          <w:sz w:val="21"/>
          <w:szCs w:val="21"/>
        </w:rPr>
        <w:t>pay</w:t>
      </w:r>
      <w:proofErr w:type="gramEnd"/>
      <w:r w:rsidRPr="009B6476">
        <w:rPr>
          <w:rFonts w:ascii="Arial" w:hAnsi="Arial" w:cs="Arial"/>
          <w:sz w:val="21"/>
          <w:szCs w:val="21"/>
        </w:rPr>
        <w:t xml:space="preserve"> of full pay men and women expressed as a percentage</w:t>
      </w:r>
    </w:p>
    <w:p w14:paraId="0950AAD7"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proportion of men and women who received bonus </w:t>
      </w:r>
      <w:proofErr w:type="gramStart"/>
      <w:r w:rsidRPr="009B6476">
        <w:rPr>
          <w:rFonts w:ascii="Arial" w:hAnsi="Arial" w:cs="Arial"/>
          <w:sz w:val="21"/>
          <w:szCs w:val="21"/>
        </w:rPr>
        <w:t>pay</w:t>
      </w:r>
      <w:proofErr w:type="gramEnd"/>
    </w:p>
    <w:p w14:paraId="76B6A6FC" w14:textId="77777777" w:rsidR="006B5F14" w:rsidRPr="009B6476" w:rsidRDefault="006B5F14" w:rsidP="006B5F14">
      <w:pPr>
        <w:pStyle w:val="ListParagraph"/>
        <w:widowControl w:val="0"/>
        <w:numPr>
          <w:ilvl w:val="0"/>
          <w:numId w:val="1"/>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proportion of full pay men and women in each of four quartile pay </w:t>
      </w:r>
      <w:proofErr w:type="gramStart"/>
      <w:r w:rsidRPr="009B6476">
        <w:rPr>
          <w:rFonts w:ascii="Arial" w:hAnsi="Arial" w:cs="Arial"/>
          <w:sz w:val="21"/>
          <w:szCs w:val="21"/>
        </w:rPr>
        <w:t>bands</w:t>
      </w:r>
      <w:proofErr w:type="gramEnd"/>
    </w:p>
    <w:p w14:paraId="58310A2E" w14:textId="77777777" w:rsidR="006B5F14" w:rsidRPr="009B6476" w:rsidRDefault="006B5F14" w:rsidP="006B5F14">
      <w:pPr>
        <w:jc w:val="both"/>
        <w:rPr>
          <w:rFonts w:ascii="Arial" w:hAnsi="Arial" w:cs="Arial"/>
          <w:sz w:val="21"/>
          <w:szCs w:val="21"/>
          <w:highlight w:val="yellow"/>
        </w:rPr>
      </w:pPr>
    </w:p>
    <w:p w14:paraId="6C6071A2" w14:textId="77777777" w:rsidR="006B5F14" w:rsidRPr="009B6476" w:rsidRDefault="006B5F14" w:rsidP="006B5F14">
      <w:pPr>
        <w:widowControl w:val="0"/>
        <w:autoSpaceDE w:val="0"/>
        <w:autoSpaceDN w:val="0"/>
        <w:adjustRightInd w:val="0"/>
        <w:ind w:left="180"/>
        <w:rPr>
          <w:rFonts w:ascii="Arial" w:hAnsi="Arial" w:cs="Arial"/>
          <w:b/>
          <w:bCs/>
          <w:sz w:val="21"/>
          <w:szCs w:val="21"/>
        </w:rPr>
      </w:pPr>
      <w:r w:rsidRPr="009B6476">
        <w:rPr>
          <w:rFonts w:ascii="Arial" w:hAnsi="Arial" w:cs="Arial"/>
          <w:b/>
          <w:bCs/>
          <w:sz w:val="21"/>
          <w:szCs w:val="21"/>
        </w:rPr>
        <w:t>College data</w:t>
      </w:r>
    </w:p>
    <w:p w14:paraId="4AF43568" w14:textId="77777777" w:rsidR="006B5F14" w:rsidRPr="009B6476" w:rsidRDefault="006B5F14" w:rsidP="006B5F14">
      <w:pPr>
        <w:widowControl w:val="0"/>
        <w:autoSpaceDE w:val="0"/>
        <w:autoSpaceDN w:val="0"/>
        <w:adjustRightInd w:val="0"/>
        <w:ind w:left="180"/>
        <w:rPr>
          <w:rFonts w:ascii="Arial" w:hAnsi="Arial" w:cs="Arial"/>
          <w:b/>
          <w:bCs/>
          <w:sz w:val="21"/>
          <w:szCs w:val="21"/>
        </w:rPr>
      </w:pPr>
    </w:p>
    <w:p w14:paraId="15B1C3CE"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mean gender pay gap for the College is 5.01% in favour of men. </w:t>
      </w:r>
    </w:p>
    <w:p w14:paraId="5FB17453"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median gender pay gap for the College is 3.83% in favour of men. </w:t>
      </w:r>
    </w:p>
    <w:p w14:paraId="35C880B9"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No difference in bonus payments made in favour of women as no bonus payments were made.</w:t>
      </w:r>
    </w:p>
    <w:p w14:paraId="67FF1A9D"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No difference in bonus payments made in favour of women as no bonus payments were made.</w:t>
      </w:r>
      <w:r w:rsidRPr="009B6476" w:rsidDel="00B41C82">
        <w:rPr>
          <w:rFonts w:ascii="Arial" w:hAnsi="Arial" w:cs="Arial"/>
          <w:sz w:val="21"/>
          <w:szCs w:val="21"/>
        </w:rPr>
        <w:t xml:space="preserve"> </w:t>
      </w:r>
      <w:r w:rsidRPr="009B6476">
        <w:rPr>
          <w:rFonts w:ascii="Arial" w:hAnsi="Arial" w:cs="Arial"/>
          <w:sz w:val="21"/>
          <w:szCs w:val="21"/>
        </w:rPr>
        <w:t xml:space="preserve"> </w:t>
      </w:r>
    </w:p>
    <w:p w14:paraId="40ACD7F8"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0% of men and 0% of women received bonus payments. </w:t>
      </w:r>
    </w:p>
    <w:p w14:paraId="41E62441" w14:textId="77777777" w:rsidR="006B5F14" w:rsidRPr="009B6476" w:rsidRDefault="006B5F14" w:rsidP="006B5F14">
      <w:pPr>
        <w:pStyle w:val="ListParagraph"/>
        <w:widowControl w:val="0"/>
        <w:numPr>
          <w:ilvl w:val="0"/>
          <w:numId w:val="2"/>
        </w:numPr>
        <w:autoSpaceDE w:val="0"/>
        <w:autoSpaceDN w:val="0"/>
        <w:adjustRightInd w:val="0"/>
        <w:ind w:left="1560" w:hanging="709"/>
        <w:jc w:val="both"/>
        <w:rPr>
          <w:rFonts w:ascii="Arial" w:hAnsi="Arial" w:cs="Arial"/>
          <w:sz w:val="21"/>
          <w:szCs w:val="21"/>
        </w:rPr>
      </w:pPr>
      <w:r w:rsidRPr="009B6476">
        <w:rPr>
          <w:rFonts w:ascii="Arial" w:hAnsi="Arial" w:cs="Arial"/>
          <w:sz w:val="21"/>
          <w:szCs w:val="21"/>
        </w:rPr>
        <w:t xml:space="preserve">The proportion of full pay men and women in each of four quartile pay bands is set out below. </w:t>
      </w:r>
    </w:p>
    <w:p w14:paraId="35099F51" w14:textId="77777777" w:rsidR="006B5F14" w:rsidRPr="009B6476" w:rsidRDefault="006B5F14" w:rsidP="006B5F14">
      <w:pPr>
        <w:pStyle w:val="ListParagraph"/>
        <w:widowControl w:val="0"/>
        <w:autoSpaceDE w:val="0"/>
        <w:autoSpaceDN w:val="0"/>
        <w:adjustRightInd w:val="0"/>
        <w:ind w:left="1560"/>
        <w:jc w:val="both"/>
        <w:rPr>
          <w:rFonts w:ascii="Arial" w:hAnsi="Arial" w:cs="Arial"/>
          <w:color w:val="000000" w:themeColor="text1"/>
          <w:sz w:val="21"/>
          <w:szCs w:val="21"/>
          <w:highlight w:val="yellow"/>
        </w:rPr>
      </w:pPr>
    </w:p>
    <w:p w14:paraId="4D31A7C3" w14:textId="77777777" w:rsidR="006B5F14" w:rsidRPr="009B6476" w:rsidRDefault="006B5F14" w:rsidP="006B5F14">
      <w:pPr>
        <w:widowControl w:val="0"/>
        <w:autoSpaceDE w:val="0"/>
        <w:autoSpaceDN w:val="0"/>
        <w:adjustRightInd w:val="0"/>
        <w:jc w:val="both"/>
        <w:rPr>
          <w:rFonts w:ascii="Arial" w:hAnsi="Arial" w:cs="Arial"/>
          <w:sz w:val="21"/>
          <w:szCs w:val="21"/>
        </w:rPr>
      </w:pPr>
      <w:r w:rsidRPr="009B6476">
        <w:rPr>
          <w:rFonts w:ascii="Arial" w:hAnsi="Arial" w:cs="Arial"/>
          <w:sz w:val="21"/>
          <w:szCs w:val="21"/>
        </w:rPr>
        <w:t>The College pay gap has reduced since it was first published in 2017. At the time there was a mean pay gap in favour of men of 5.27%, and a median pay gap in favour of men of 4.75%. Appendix B contains a table of previous returns.</w:t>
      </w:r>
    </w:p>
    <w:p w14:paraId="04FDCCAB" w14:textId="77777777" w:rsidR="006B5F14" w:rsidRPr="009B6476" w:rsidRDefault="006B5F14" w:rsidP="006B5F14">
      <w:pPr>
        <w:widowControl w:val="0"/>
        <w:autoSpaceDE w:val="0"/>
        <w:autoSpaceDN w:val="0"/>
        <w:adjustRightInd w:val="0"/>
        <w:jc w:val="both"/>
        <w:rPr>
          <w:rFonts w:ascii="Arial" w:hAnsi="Arial" w:cs="Arial"/>
          <w:sz w:val="21"/>
          <w:szCs w:val="21"/>
          <w:highlight w:val="yellow"/>
        </w:rPr>
      </w:pPr>
    </w:p>
    <w:p w14:paraId="17A17405" w14:textId="77777777" w:rsidR="006B5F14" w:rsidRPr="009B6476" w:rsidRDefault="006B5F14" w:rsidP="006B5F14">
      <w:pPr>
        <w:widowControl w:val="0"/>
        <w:autoSpaceDE w:val="0"/>
        <w:autoSpaceDN w:val="0"/>
        <w:adjustRightInd w:val="0"/>
        <w:jc w:val="both"/>
        <w:rPr>
          <w:rFonts w:ascii="Arial" w:hAnsi="Arial" w:cs="Arial"/>
          <w:sz w:val="21"/>
          <w:szCs w:val="21"/>
          <w:highlight w:val="yellow"/>
        </w:rPr>
      </w:pPr>
      <w:r w:rsidRPr="009B6476">
        <w:rPr>
          <w:rFonts w:ascii="Arial" w:hAnsi="Arial" w:cs="Arial"/>
          <w:sz w:val="21"/>
          <w:szCs w:val="21"/>
        </w:rPr>
        <w:lastRenderedPageBreak/>
        <w:t xml:space="preserve">The table below depicts pay quartiles by gender. This shows the College’s workforce divided into four equal-sized groups based on hourly pay rates, with Quartile 1 including the lowest-paid 25% of employees (the lower quartile) and Quartile 4 covering the highest-paid 25% (the upper quartile). If there were no gender pay gap, there would need to be an equal ratio of men to women in each Quartile. </w:t>
      </w:r>
    </w:p>
    <w:p w14:paraId="27ECAAA0" w14:textId="77777777" w:rsidR="006B5F14" w:rsidRPr="009B6476" w:rsidRDefault="006B5F14" w:rsidP="006B5F14">
      <w:pPr>
        <w:widowControl w:val="0"/>
        <w:autoSpaceDE w:val="0"/>
        <w:autoSpaceDN w:val="0"/>
        <w:adjustRightInd w:val="0"/>
        <w:jc w:val="both"/>
        <w:rPr>
          <w:rFonts w:ascii="Arial" w:hAnsi="Arial" w:cs="Arial"/>
          <w:sz w:val="21"/>
          <w:szCs w:val="21"/>
          <w:highlight w:val="yellow"/>
        </w:rPr>
      </w:pPr>
    </w:p>
    <w:p w14:paraId="3D5A888D" w14:textId="77777777" w:rsidR="006B5F14" w:rsidRPr="009B6476" w:rsidRDefault="006B5F14" w:rsidP="006B5F14">
      <w:pPr>
        <w:widowControl w:val="0"/>
        <w:autoSpaceDE w:val="0"/>
        <w:autoSpaceDN w:val="0"/>
        <w:adjustRightInd w:val="0"/>
        <w:jc w:val="both"/>
        <w:rPr>
          <w:rFonts w:ascii="Arial" w:hAnsi="Arial" w:cs="Arial"/>
          <w:sz w:val="21"/>
          <w:szCs w:val="21"/>
        </w:rPr>
      </w:pPr>
      <w:r w:rsidRPr="009B6476">
        <w:rPr>
          <w:rFonts w:ascii="Arial" w:hAnsi="Arial" w:cs="Arial"/>
          <w:sz w:val="21"/>
          <w:szCs w:val="21"/>
        </w:rPr>
        <w:t>The respective figures for 31</w:t>
      </w:r>
      <w:r w:rsidRPr="009B6476">
        <w:rPr>
          <w:rFonts w:ascii="Arial" w:hAnsi="Arial" w:cs="Arial"/>
          <w:sz w:val="21"/>
          <w:szCs w:val="21"/>
          <w:vertAlign w:val="superscript"/>
        </w:rPr>
        <w:t>st</w:t>
      </w:r>
      <w:r w:rsidRPr="009B6476">
        <w:rPr>
          <w:rFonts w:ascii="Arial" w:hAnsi="Arial" w:cs="Arial"/>
          <w:sz w:val="21"/>
          <w:szCs w:val="21"/>
        </w:rPr>
        <w:t xml:space="preserve"> March 2021 are in brackets. The mean gender pay gap last year was 4.66%, and the median gender pay gap was 5.67%. The proportion of male staff remained the same in Quartile 1 and increased by 9% in Quartile 2. In Quartiles 3 the proportion of male staff decreased by 7% and in quartile 4 it increased by 1%. </w:t>
      </w:r>
    </w:p>
    <w:p w14:paraId="55356D8D" w14:textId="77777777" w:rsidR="006B5F14" w:rsidRPr="009B6476" w:rsidRDefault="006B5F14" w:rsidP="006B5F14">
      <w:pPr>
        <w:widowControl w:val="0"/>
        <w:autoSpaceDE w:val="0"/>
        <w:autoSpaceDN w:val="0"/>
        <w:adjustRightInd w:val="0"/>
        <w:jc w:val="both"/>
        <w:rPr>
          <w:rFonts w:ascii="Arial" w:hAnsi="Arial" w:cs="Arial"/>
          <w:sz w:val="21"/>
          <w:szCs w:val="21"/>
        </w:rPr>
      </w:pPr>
    </w:p>
    <w:p w14:paraId="7DB89C60" w14:textId="77777777" w:rsidR="006B5F14" w:rsidRPr="009B6476" w:rsidRDefault="006B5F14" w:rsidP="006B5F14">
      <w:pPr>
        <w:widowControl w:val="0"/>
        <w:autoSpaceDE w:val="0"/>
        <w:autoSpaceDN w:val="0"/>
        <w:adjustRightInd w:val="0"/>
        <w:jc w:val="both"/>
        <w:rPr>
          <w:rFonts w:ascii="Arial" w:hAnsi="Arial" w:cs="Arial"/>
          <w:sz w:val="21"/>
          <w:szCs w:val="21"/>
        </w:rPr>
      </w:pPr>
      <w:r w:rsidRPr="009B6476">
        <w:rPr>
          <w:rFonts w:ascii="Arial" w:hAnsi="Arial" w:cs="Arial"/>
          <w:sz w:val="21"/>
          <w:szCs w:val="21"/>
        </w:rPr>
        <w:t xml:space="preserve">The number of apprentices and </w:t>
      </w:r>
      <w:r>
        <w:rPr>
          <w:rFonts w:ascii="Arial" w:hAnsi="Arial" w:cs="Arial"/>
          <w:sz w:val="21"/>
          <w:szCs w:val="21"/>
        </w:rPr>
        <w:t xml:space="preserve">former </w:t>
      </w:r>
      <w:r w:rsidRPr="009B6476">
        <w:rPr>
          <w:rFonts w:ascii="Arial" w:hAnsi="Arial" w:cs="Arial"/>
          <w:sz w:val="21"/>
          <w:szCs w:val="21"/>
        </w:rPr>
        <w:t xml:space="preserve">apprentices being offered permanent roles </w:t>
      </w:r>
      <w:r>
        <w:rPr>
          <w:rFonts w:ascii="Arial" w:hAnsi="Arial" w:cs="Arial"/>
          <w:sz w:val="21"/>
          <w:szCs w:val="21"/>
        </w:rPr>
        <w:t xml:space="preserve">has </w:t>
      </w:r>
      <w:r w:rsidRPr="009B6476">
        <w:rPr>
          <w:rFonts w:ascii="Arial" w:hAnsi="Arial" w:cs="Arial"/>
          <w:sz w:val="21"/>
          <w:szCs w:val="21"/>
        </w:rPr>
        <w:t>increased. This had the effect of pushing staff in IT roles into quartile 2, many of whom were male. In turn this has pushed staff in MGL roles into quartile 3 which has increased the number of female staff in quartile 3.</w:t>
      </w:r>
    </w:p>
    <w:p w14:paraId="2E540D21" w14:textId="77777777" w:rsidR="006B5F14" w:rsidRPr="009B6476" w:rsidRDefault="006B5F14" w:rsidP="006B5F14">
      <w:pPr>
        <w:widowControl w:val="0"/>
        <w:autoSpaceDE w:val="0"/>
        <w:autoSpaceDN w:val="0"/>
        <w:adjustRightInd w:val="0"/>
        <w:ind w:left="180"/>
        <w:rPr>
          <w:rFonts w:ascii="Arial" w:hAnsi="Arial" w:cs="Arial"/>
          <w:b/>
          <w:bCs/>
          <w:sz w:val="21"/>
          <w:szCs w:val="21"/>
        </w:rPr>
      </w:pPr>
    </w:p>
    <w:tbl>
      <w:tblPr>
        <w:tblW w:w="9720"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72"/>
        <w:gridCol w:w="1136"/>
        <w:gridCol w:w="1221"/>
        <w:gridCol w:w="6051"/>
        <w:gridCol w:w="40"/>
      </w:tblGrid>
      <w:tr w:rsidR="006B5F14" w:rsidRPr="009B6476" w14:paraId="0BF78018" w14:textId="77777777" w:rsidTr="00E3336B">
        <w:trPr>
          <w:trHeight w:val="667"/>
        </w:trPr>
        <w:tc>
          <w:tcPr>
            <w:tcW w:w="1272" w:type="dxa"/>
            <w:tcBorders>
              <w:top w:val="single" w:sz="8" w:space="0" w:color="auto"/>
              <w:left w:val="single" w:sz="8" w:space="0" w:color="auto"/>
              <w:bottom w:val="single" w:sz="8" w:space="0" w:color="auto"/>
              <w:right w:val="single" w:sz="8" w:space="0" w:color="auto"/>
            </w:tcBorders>
            <w:vAlign w:val="bottom"/>
            <w:hideMark/>
          </w:tcPr>
          <w:p w14:paraId="6988875F" w14:textId="77777777" w:rsidR="006B5F14" w:rsidRPr="009B6476" w:rsidRDefault="006B5F14" w:rsidP="00E3336B">
            <w:pPr>
              <w:widowControl w:val="0"/>
              <w:autoSpaceDE w:val="0"/>
              <w:autoSpaceDN w:val="0"/>
              <w:adjustRightInd w:val="0"/>
              <w:ind w:left="180"/>
              <w:jc w:val="both"/>
              <w:rPr>
                <w:rFonts w:ascii="Arial" w:hAnsi="Arial" w:cs="Arial"/>
                <w:b/>
                <w:sz w:val="21"/>
                <w:szCs w:val="21"/>
              </w:rPr>
            </w:pPr>
            <w:r w:rsidRPr="009B6476">
              <w:rPr>
                <w:rFonts w:ascii="Arial" w:hAnsi="Arial" w:cs="Arial"/>
                <w:b/>
                <w:bCs/>
                <w:sz w:val="21"/>
                <w:szCs w:val="21"/>
              </w:rPr>
              <w:t>Quartile</w:t>
            </w:r>
          </w:p>
        </w:tc>
        <w:tc>
          <w:tcPr>
            <w:tcW w:w="1136" w:type="dxa"/>
            <w:tcBorders>
              <w:top w:val="single" w:sz="8" w:space="0" w:color="auto"/>
              <w:left w:val="single" w:sz="8" w:space="0" w:color="auto"/>
              <w:bottom w:val="single" w:sz="8" w:space="0" w:color="auto"/>
              <w:right w:val="single" w:sz="8" w:space="0" w:color="auto"/>
            </w:tcBorders>
            <w:vAlign w:val="bottom"/>
            <w:hideMark/>
          </w:tcPr>
          <w:p w14:paraId="35BE464B" w14:textId="77777777" w:rsidR="006B5F14" w:rsidRPr="009B6476" w:rsidRDefault="006B5F14" w:rsidP="00E3336B">
            <w:pPr>
              <w:widowControl w:val="0"/>
              <w:autoSpaceDE w:val="0"/>
              <w:autoSpaceDN w:val="0"/>
              <w:adjustRightInd w:val="0"/>
              <w:ind w:left="180"/>
              <w:jc w:val="both"/>
              <w:rPr>
                <w:rFonts w:ascii="Arial" w:hAnsi="Arial" w:cs="Arial"/>
                <w:b/>
                <w:sz w:val="21"/>
                <w:szCs w:val="21"/>
              </w:rPr>
            </w:pPr>
            <w:r w:rsidRPr="009B6476">
              <w:rPr>
                <w:rFonts w:ascii="Arial" w:hAnsi="Arial" w:cs="Arial"/>
                <w:b/>
                <w:bCs/>
                <w:sz w:val="21"/>
                <w:szCs w:val="21"/>
              </w:rPr>
              <w:t>Males</w:t>
            </w:r>
          </w:p>
        </w:tc>
        <w:tc>
          <w:tcPr>
            <w:tcW w:w="1221" w:type="dxa"/>
            <w:tcBorders>
              <w:top w:val="single" w:sz="8" w:space="0" w:color="auto"/>
              <w:left w:val="single" w:sz="8" w:space="0" w:color="auto"/>
              <w:bottom w:val="single" w:sz="8" w:space="0" w:color="auto"/>
              <w:right w:val="single" w:sz="8" w:space="0" w:color="auto"/>
            </w:tcBorders>
            <w:vAlign w:val="bottom"/>
            <w:hideMark/>
          </w:tcPr>
          <w:p w14:paraId="5F9B6B9C" w14:textId="77777777" w:rsidR="006B5F14" w:rsidRPr="009B6476" w:rsidRDefault="006B5F14" w:rsidP="00E3336B">
            <w:pPr>
              <w:widowControl w:val="0"/>
              <w:autoSpaceDE w:val="0"/>
              <w:autoSpaceDN w:val="0"/>
              <w:adjustRightInd w:val="0"/>
              <w:ind w:left="180"/>
              <w:jc w:val="both"/>
              <w:rPr>
                <w:rFonts w:ascii="Arial" w:hAnsi="Arial" w:cs="Arial"/>
                <w:b/>
                <w:sz w:val="21"/>
                <w:szCs w:val="21"/>
              </w:rPr>
            </w:pPr>
            <w:r w:rsidRPr="009B6476">
              <w:rPr>
                <w:rFonts w:ascii="Arial" w:hAnsi="Arial" w:cs="Arial"/>
                <w:b/>
                <w:bCs/>
                <w:sz w:val="21"/>
                <w:szCs w:val="21"/>
              </w:rPr>
              <w:t>Females</w:t>
            </w:r>
          </w:p>
        </w:tc>
        <w:tc>
          <w:tcPr>
            <w:tcW w:w="6051" w:type="dxa"/>
            <w:tcBorders>
              <w:top w:val="single" w:sz="8" w:space="0" w:color="auto"/>
              <w:left w:val="single" w:sz="8" w:space="0" w:color="auto"/>
              <w:bottom w:val="single" w:sz="8" w:space="0" w:color="auto"/>
              <w:right w:val="single" w:sz="8" w:space="0" w:color="auto"/>
            </w:tcBorders>
            <w:vAlign w:val="bottom"/>
            <w:hideMark/>
          </w:tcPr>
          <w:p w14:paraId="687C1AA2" w14:textId="77777777" w:rsidR="006B5F14" w:rsidRPr="009B6476" w:rsidRDefault="006B5F14" w:rsidP="00E3336B">
            <w:pPr>
              <w:widowControl w:val="0"/>
              <w:autoSpaceDE w:val="0"/>
              <w:autoSpaceDN w:val="0"/>
              <w:adjustRightInd w:val="0"/>
              <w:ind w:left="180"/>
              <w:jc w:val="both"/>
              <w:rPr>
                <w:rFonts w:ascii="Arial" w:hAnsi="Arial" w:cs="Arial"/>
                <w:b/>
                <w:sz w:val="21"/>
                <w:szCs w:val="21"/>
              </w:rPr>
            </w:pPr>
            <w:r w:rsidRPr="009B6476">
              <w:rPr>
                <w:rFonts w:ascii="Arial" w:hAnsi="Arial" w:cs="Arial"/>
                <w:b/>
                <w:bCs/>
                <w:sz w:val="21"/>
                <w:szCs w:val="21"/>
              </w:rPr>
              <w:t>Description</w:t>
            </w:r>
          </w:p>
        </w:tc>
        <w:tc>
          <w:tcPr>
            <w:tcW w:w="40" w:type="dxa"/>
            <w:tcBorders>
              <w:top w:val="single" w:sz="8" w:space="0" w:color="auto"/>
              <w:left w:val="single" w:sz="8" w:space="0" w:color="auto"/>
              <w:bottom w:val="single" w:sz="8" w:space="0" w:color="auto"/>
              <w:right w:val="single" w:sz="8" w:space="0" w:color="auto"/>
            </w:tcBorders>
            <w:vAlign w:val="bottom"/>
          </w:tcPr>
          <w:p w14:paraId="7C16A652" w14:textId="77777777" w:rsidR="006B5F14" w:rsidRPr="009B6476" w:rsidRDefault="006B5F14" w:rsidP="00E3336B">
            <w:pPr>
              <w:widowControl w:val="0"/>
              <w:autoSpaceDE w:val="0"/>
              <w:autoSpaceDN w:val="0"/>
              <w:adjustRightInd w:val="0"/>
              <w:jc w:val="both"/>
              <w:rPr>
                <w:rFonts w:ascii="Arial" w:hAnsi="Arial" w:cs="Arial"/>
                <w:b/>
                <w:sz w:val="21"/>
                <w:szCs w:val="21"/>
              </w:rPr>
            </w:pPr>
          </w:p>
        </w:tc>
      </w:tr>
      <w:tr w:rsidR="006B5F14" w:rsidRPr="009B6476" w14:paraId="70E038AB" w14:textId="77777777" w:rsidTr="00E3336B">
        <w:trPr>
          <w:trHeight w:val="698"/>
        </w:trPr>
        <w:tc>
          <w:tcPr>
            <w:tcW w:w="1272" w:type="dxa"/>
            <w:tcBorders>
              <w:top w:val="single" w:sz="8" w:space="0" w:color="auto"/>
              <w:left w:val="single" w:sz="8" w:space="0" w:color="auto"/>
              <w:bottom w:val="single" w:sz="8" w:space="0" w:color="auto"/>
              <w:right w:val="single" w:sz="8" w:space="0" w:color="auto"/>
            </w:tcBorders>
            <w:vAlign w:val="bottom"/>
            <w:hideMark/>
          </w:tcPr>
          <w:p w14:paraId="30F9C634"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bCs/>
                <w:sz w:val="21"/>
                <w:szCs w:val="21"/>
              </w:rPr>
              <w:t>Quartile 1</w:t>
            </w:r>
          </w:p>
        </w:tc>
        <w:tc>
          <w:tcPr>
            <w:tcW w:w="1136" w:type="dxa"/>
            <w:tcBorders>
              <w:top w:val="single" w:sz="8" w:space="0" w:color="auto"/>
              <w:left w:val="single" w:sz="8" w:space="0" w:color="auto"/>
              <w:bottom w:val="single" w:sz="8" w:space="0" w:color="auto"/>
              <w:right w:val="single" w:sz="8" w:space="0" w:color="auto"/>
            </w:tcBorders>
            <w:vAlign w:val="bottom"/>
            <w:hideMark/>
          </w:tcPr>
          <w:p w14:paraId="7935762E"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 xml:space="preserve">27% (27%) </w:t>
            </w:r>
          </w:p>
        </w:tc>
        <w:tc>
          <w:tcPr>
            <w:tcW w:w="1221" w:type="dxa"/>
            <w:tcBorders>
              <w:top w:val="single" w:sz="8" w:space="0" w:color="auto"/>
              <w:left w:val="single" w:sz="8" w:space="0" w:color="auto"/>
              <w:bottom w:val="single" w:sz="8" w:space="0" w:color="auto"/>
              <w:right w:val="single" w:sz="8" w:space="0" w:color="auto"/>
            </w:tcBorders>
            <w:vAlign w:val="bottom"/>
            <w:hideMark/>
          </w:tcPr>
          <w:p w14:paraId="1303B2E2"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73% (73%)</w:t>
            </w:r>
          </w:p>
        </w:tc>
        <w:tc>
          <w:tcPr>
            <w:tcW w:w="6051" w:type="dxa"/>
            <w:tcBorders>
              <w:top w:val="single" w:sz="8" w:space="0" w:color="auto"/>
              <w:left w:val="single" w:sz="8" w:space="0" w:color="auto"/>
              <w:bottom w:val="single" w:sz="8" w:space="0" w:color="auto"/>
              <w:right w:val="single" w:sz="8" w:space="0" w:color="auto"/>
            </w:tcBorders>
            <w:vAlign w:val="bottom"/>
            <w:hideMark/>
          </w:tcPr>
          <w:p w14:paraId="0FF2386F"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Includes all employees whose standard hourly rate places them at or below the lower quartile</w:t>
            </w:r>
          </w:p>
        </w:tc>
        <w:tc>
          <w:tcPr>
            <w:tcW w:w="40" w:type="dxa"/>
            <w:tcBorders>
              <w:top w:val="single" w:sz="8" w:space="0" w:color="auto"/>
              <w:left w:val="single" w:sz="8" w:space="0" w:color="auto"/>
              <w:bottom w:val="single" w:sz="8" w:space="0" w:color="auto"/>
              <w:right w:val="single" w:sz="8" w:space="0" w:color="auto"/>
            </w:tcBorders>
            <w:vAlign w:val="bottom"/>
          </w:tcPr>
          <w:p w14:paraId="5A6BB3DE" w14:textId="77777777" w:rsidR="006B5F14" w:rsidRPr="009B6476" w:rsidRDefault="006B5F14" w:rsidP="00E3336B">
            <w:pPr>
              <w:widowControl w:val="0"/>
              <w:autoSpaceDE w:val="0"/>
              <w:autoSpaceDN w:val="0"/>
              <w:adjustRightInd w:val="0"/>
              <w:jc w:val="both"/>
              <w:rPr>
                <w:rFonts w:ascii="Arial" w:hAnsi="Arial" w:cs="Arial"/>
                <w:b/>
                <w:sz w:val="21"/>
                <w:szCs w:val="21"/>
              </w:rPr>
            </w:pPr>
          </w:p>
        </w:tc>
      </w:tr>
      <w:tr w:rsidR="006B5F14" w:rsidRPr="009B6476" w14:paraId="081F17BC" w14:textId="77777777" w:rsidTr="00E3336B">
        <w:trPr>
          <w:trHeight w:val="734"/>
        </w:trPr>
        <w:tc>
          <w:tcPr>
            <w:tcW w:w="1272" w:type="dxa"/>
            <w:tcBorders>
              <w:top w:val="single" w:sz="8" w:space="0" w:color="auto"/>
              <w:left w:val="single" w:sz="8" w:space="0" w:color="auto"/>
              <w:bottom w:val="single" w:sz="8" w:space="0" w:color="auto"/>
              <w:right w:val="single" w:sz="8" w:space="0" w:color="auto"/>
            </w:tcBorders>
            <w:vAlign w:val="bottom"/>
            <w:hideMark/>
          </w:tcPr>
          <w:p w14:paraId="64EADCF9"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bCs/>
                <w:sz w:val="21"/>
                <w:szCs w:val="21"/>
              </w:rPr>
              <w:t>Quartile 2</w:t>
            </w:r>
          </w:p>
        </w:tc>
        <w:tc>
          <w:tcPr>
            <w:tcW w:w="1136" w:type="dxa"/>
            <w:tcBorders>
              <w:top w:val="single" w:sz="8" w:space="0" w:color="auto"/>
              <w:left w:val="single" w:sz="8" w:space="0" w:color="auto"/>
              <w:bottom w:val="single" w:sz="8" w:space="0" w:color="auto"/>
              <w:right w:val="single" w:sz="8" w:space="0" w:color="auto"/>
            </w:tcBorders>
            <w:vAlign w:val="bottom"/>
            <w:hideMark/>
          </w:tcPr>
          <w:p w14:paraId="212C292E"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 xml:space="preserve">42% (33%) </w:t>
            </w:r>
          </w:p>
        </w:tc>
        <w:tc>
          <w:tcPr>
            <w:tcW w:w="1221" w:type="dxa"/>
            <w:tcBorders>
              <w:top w:val="single" w:sz="8" w:space="0" w:color="auto"/>
              <w:left w:val="single" w:sz="8" w:space="0" w:color="auto"/>
              <w:bottom w:val="single" w:sz="8" w:space="0" w:color="auto"/>
              <w:right w:val="single" w:sz="8" w:space="0" w:color="auto"/>
            </w:tcBorders>
            <w:vAlign w:val="bottom"/>
            <w:hideMark/>
          </w:tcPr>
          <w:p w14:paraId="363492B1"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 xml:space="preserve"> 58% (67%)</w:t>
            </w:r>
          </w:p>
        </w:tc>
        <w:tc>
          <w:tcPr>
            <w:tcW w:w="6051" w:type="dxa"/>
            <w:tcBorders>
              <w:top w:val="single" w:sz="8" w:space="0" w:color="auto"/>
              <w:left w:val="single" w:sz="8" w:space="0" w:color="auto"/>
              <w:bottom w:val="single" w:sz="8" w:space="0" w:color="auto"/>
              <w:right w:val="single" w:sz="8" w:space="0" w:color="auto"/>
            </w:tcBorders>
            <w:vAlign w:val="bottom"/>
            <w:hideMark/>
          </w:tcPr>
          <w:p w14:paraId="19EC66FF"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Includes all employees whose standard hourly rate places them above the lower quartile but at or below the median</w:t>
            </w:r>
          </w:p>
        </w:tc>
        <w:tc>
          <w:tcPr>
            <w:tcW w:w="40" w:type="dxa"/>
            <w:tcBorders>
              <w:top w:val="single" w:sz="8" w:space="0" w:color="auto"/>
              <w:left w:val="single" w:sz="8" w:space="0" w:color="auto"/>
              <w:bottom w:val="single" w:sz="8" w:space="0" w:color="auto"/>
              <w:right w:val="single" w:sz="8" w:space="0" w:color="auto"/>
            </w:tcBorders>
            <w:vAlign w:val="bottom"/>
          </w:tcPr>
          <w:p w14:paraId="1D37FE2F" w14:textId="77777777" w:rsidR="006B5F14" w:rsidRPr="009B6476" w:rsidRDefault="006B5F14" w:rsidP="00E3336B">
            <w:pPr>
              <w:widowControl w:val="0"/>
              <w:autoSpaceDE w:val="0"/>
              <w:autoSpaceDN w:val="0"/>
              <w:adjustRightInd w:val="0"/>
              <w:jc w:val="both"/>
              <w:rPr>
                <w:rFonts w:ascii="Arial" w:hAnsi="Arial" w:cs="Arial"/>
                <w:b/>
                <w:sz w:val="21"/>
                <w:szCs w:val="21"/>
              </w:rPr>
            </w:pPr>
          </w:p>
        </w:tc>
      </w:tr>
      <w:tr w:rsidR="006B5F14" w:rsidRPr="009B6476" w14:paraId="788E31B4" w14:textId="77777777" w:rsidTr="00E3336B">
        <w:trPr>
          <w:trHeight w:val="758"/>
        </w:trPr>
        <w:tc>
          <w:tcPr>
            <w:tcW w:w="1272" w:type="dxa"/>
            <w:tcBorders>
              <w:top w:val="single" w:sz="8" w:space="0" w:color="auto"/>
              <w:left w:val="single" w:sz="8" w:space="0" w:color="auto"/>
              <w:bottom w:val="single" w:sz="8" w:space="0" w:color="auto"/>
              <w:right w:val="single" w:sz="8" w:space="0" w:color="auto"/>
            </w:tcBorders>
            <w:vAlign w:val="bottom"/>
            <w:hideMark/>
          </w:tcPr>
          <w:p w14:paraId="2BDE45CA"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bCs/>
                <w:sz w:val="21"/>
                <w:szCs w:val="21"/>
              </w:rPr>
              <w:t>Quartile 3</w:t>
            </w:r>
          </w:p>
        </w:tc>
        <w:tc>
          <w:tcPr>
            <w:tcW w:w="1136" w:type="dxa"/>
            <w:tcBorders>
              <w:top w:val="single" w:sz="8" w:space="0" w:color="auto"/>
              <w:left w:val="single" w:sz="8" w:space="0" w:color="auto"/>
              <w:bottom w:val="single" w:sz="8" w:space="0" w:color="auto"/>
              <w:right w:val="single" w:sz="8" w:space="0" w:color="auto"/>
            </w:tcBorders>
            <w:vAlign w:val="bottom"/>
            <w:hideMark/>
          </w:tcPr>
          <w:p w14:paraId="09281C98"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41% (48%)</w:t>
            </w:r>
          </w:p>
        </w:tc>
        <w:tc>
          <w:tcPr>
            <w:tcW w:w="1221" w:type="dxa"/>
            <w:tcBorders>
              <w:top w:val="single" w:sz="8" w:space="0" w:color="auto"/>
              <w:left w:val="single" w:sz="8" w:space="0" w:color="auto"/>
              <w:bottom w:val="single" w:sz="8" w:space="0" w:color="auto"/>
              <w:right w:val="single" w:sz="8" w:space="0" w:color="auto"/>
            </w:tcBorders>
            <w:vAlign w:val="bottom"/>
            <w:hideMark/>
          </w:tcPr>
          <w:p w14:paraId="62DDAE43"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 xml:space="preserve">59% (52%) </w:t>
            </w:r>
          </w:p>
        </w:tc>
        <w:tc>
          <w:tcPr>
            <w:tcW w:w="6051" w:type="dxa"/>
            <w:tcBorders>
              <w:top w:val="single" w:sz="8" w:space="0" w:color="auto"/>
              <w:left w:val="single" w:sz="8" w:space="0" w:color="auto"/>
              <w:bottom w:val="single" w:sz="8" w:space="0" w:color="auto"/>
              <w:right w:val="single" w:sz="8" w:space="0" w:color="auto"/>
            </w:tcBorders>
            <w:vAlign w:val="bottom"/>
            <w:hideMark/>
          </w:tcPr>
          <w:p w14:paraId="6D731F46"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Includes all employees whose standard hourly rate places them above the median but at or below the upper quartile</w:t>
            </w:r>
          </w:p>
        </w:tc>
        <w:tc>
          <w:tcPr>
            <w:tcW w:w="40" w:type="dxa"/>
            <w:tcBorders>
              <w:top w:val="single" w:sz="8" w:space="0" w:color="auto"/>
              <w:left w:val="single" w:sz="8" w:space="0" w:color="auto"/>
              <w:bottom w:val="single" w:sz="8" w:space="0" w:color="auto"/>
              <w:right w:val="single" w:sz="8" w:space="0" w:color="auto"/>
            </w:tcBorders>
            <w:vAlign w:val="bottom"/>
          </w:tcPr>
          <w:p w14:paraId="74839F96" w14:textId="77777777" w:rsidR="006B5F14" w:rsidRPr="009B6476" w:rsidRDefault="006B5F14" w:rsidP="00E3336B">
            <w:pPr>
              <w:widowControl w:val="0"/>
              <w:autoSpaceDE w:val="0"/>
              <w:autoSpaceDN w:val="0"/>
              <w:adjustRightInd w:val="0"/>
              <w:jc w:val="both"/>
              <w:rPr>
                <w:rFonts w:ascii="Arial" w:hAnsi="Arial" w:cs="Arial"/>
                <w:b/>
                <w:sz w:val="21"/>
                <w:szCs w:val="21"/>
              </w:rPr>
            </w:pPr>
          </w:p>
        </w:tc>
      </w:tr>
      <w:tr w:rsidR="006B5F14" w:rsidRPr="009B6476" w14:paraId="09D1ACA1" w14:textId="77777777" w:rsidTr="00E3336B">
        <w:trPr>
          <w:trHeight w:val="794"/>
        </w:trPr>
        <w:tc>
          <w:tcPr>
            <w:tcW w:w="1272" w:type="dxa"/>
            <w:tcBorders>
              <w:top w:val="single" w:sz="8" w:space="0" w:color="auto"/>
              <w:left w:val="single" w:sz="8" w:space="0" w:color="auto"/>
              <w:bottom w:val="single" w:sz="8" w:space="0" w:color="auto"/>
              <w:right w:val="single" w:sz="8" w:space="0" w:color="auto"/>
            </w:tcBorders>
            <w:vAlign w:val="bottom"/>
            <w:hideMark/>
          </w:tcPr>
          <w:p w14:paraId="0215BC1B"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bCs/>
                <w:sz w:val="21"/>
                <w:szCs w:val="21"/>
              </w:rPr>
              <w:t>Quartile 4</w:t>
            </w:r>
          </w:p>
        </w:tc>
        <w:tc>
          <w:tcPr>
            <w:tcW w:w="1136" w:type="dxa"/>
            <w:tcBorders>
              <w:top w:val="single" w:sz="8" w:space="0" w:color="auto"/>
              <w:left w:val="single" w:sz="8" w:space="0" w:color="auto"/>
              <w:bottom w:val="single" w:sz="8" w:space="0" w:color="auto"/>
              <w:right w:val="single" w:sz="8" w:space="0" w:color="auto"/>
            </w:tcBorders>
            <w:vAlign w:val="bottom"/>
            <w:hideMark/>
          </w:tcPr>
          <w:p w14:paraId="16DE1913"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48% (47%)</w:t>
            </w:r>
          </w:p>
        </w:tc>
        <w:tc>
          <w:tcPr>
            <w:tcW w:w="1221" w:type="dxa"/>
            <w:tcBorders>
              <w:top w:val="single" w:sz="8" w:space="0" w:color="auto"/>
              <w:left w:val="single" w:sz="8" w:space="0" w:color="auto"/>
              <w:bottom w:val="single" w:sz="8" w:space="0" w:color="auto"/>
              <w:right w:val="single" w:sz="8" w:space="0" w:color="auto"/>
            </w:tcBorders>
            <w:vAlign w:val="bottom"/>
            <w:hideMark/>
          </w:tcPr>
          <w:p w14:paraId="6174A965"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52% (53%)</w:t>
            </w:r>
          </w:p>
        </w:tc>
        <w:tc>
          <w:tcPr>
            <w:tcW w:w="6051" w:type="dxa"/>
            <w:tcBorders>
              <w:top w:val="single" w:sz="8" w:space="0" w:color="auto"/>
              <w:left w:val="single" w:sz="8" w:space="0" w:color="auto"/>
              <w:bottom w:val="single" w:sz="8" w:space="0" w:color="auto"/>
              <w:right w:val="single" w:sz="8" w:space="0" w:color="auto"/>
            </w:tcBorders>
            <w:vAlign w:val="bottom"/>
            <w:hideMark/>
          </w:tcPr>
          <w:p w14:paraId="53938113" w14:textId="77777777" w:rsidR="006B5F14" w:rsidRPr="009B6476" w:rsidRDefault="006B5F14" w:rsidP="00E3336B">
            <w:pPr>
              <w:widowControl w:val="0"/>
              <w:autoSpaceDE w:val="0"/>
              <w:autoSpaceDN w:val="0"/>
              <w:adjustRightInd w:val="0"/>
              <w:jc w:val="both"/>
              <w:rPr>
                <w:rFonts w:ascii="Arial" w:hAnsi="Arial" w:cs="Arial"/>
                <w:sz w:val="21"/>
                <w:szCs w:val="21"/>
              </w:rPr>
            </w:pPr>
            <w:r w:rsidRPr="009B6476">
              <w:rPr>
                <w:rFonts w:ascii="Arial" w:hAnsi="Arial" w:cs="Arial"/>
                <w:sz w:val="21"/>
                <w:szCs w:val="21"/>
              </w:rPr>
              <w:t>Includes all employees whose standard hourly rate places them above the upper quartile</w:t>
            </w:r>
          </w:p>
        </w:tc>
        <w:tc>
          <w:tcPr>
            <w:tcW w:w="40" w:type="dxa"/>
            <w:tcBorders>
              <w:top w:val="single" w:sz="8" w:space="0" w:color="auto"/>
              <w:left w:val="single" w:sz="8" w:space="0" w:color="auto"/>
              <w:bottom w:val="single" w:sz="8" w:space="0" w:color="auto"/>
              <w:right w:val="single" w:sz="8" w:space="0" w:color="auto"/>
            </w:tcBorders>
            <w:vAlign w:val="bottom"/>
          </w:tcPr>
          <w:p w14:paraId="5CCB99A1" w14:textId="77777777" w:rsidR="006B5F14" w:rsidRPr="009B6476" w:rsidRDefault="006B5F14" w:rsidP="00E3336B">
            <w:pPr>
              <w:widowControl w:val="0"/>
              <w:autoSpaceDE w:val="0"/>
              <w:autoSpaceDN w:val="0"/>
              <w:adjustRightInd w:val="0"/>
              <w:jc w:val="both"/>
              <w:rPr>
                <w:rFonts w:ascii="Arial" w:hAnsi="Arial" w:cs="Arial"/>
                <w:b/>
                <w:sz w:val="21"/>
                <w:szCs w:val="21"/>
              </w:rPr>
            </w:pPr>
          </w:p>
        </w:tc>
      </w:tr>
    </w:tbl>
    <w:p w14:paraId="4BD8489F" w14:textId="77777777" w:rsidR="006B5F14" w:rsidRPr="009B6476" w:rsidRDefault="006B5F14" w:rsidP="006B5F14">
      <w:pPr>
        <w:widowControl w:val="0"/>
        <w:overflowPunct w:val="0"/>
        <w:autoSpaceDE w:val="0"/>
        <w:autoSpaceDN w:val="0"/>
        <w:adjustRightInd w:val="0"/>
        <w:spacing w:line="225" w:lineRule="auto"/>
        <w:ind w:left="180" w:right="500"/>
        <w:jc w:val="both"/>
        <w:rPr>
          <w:rFonts w:ascii="Arial" w:hAnsi="Arial" w:cs="Arial"/>
          <w:sz w:val="21"/>
          <w:szCs w:val="21"/>
          <w:highlight w:val="yellow"/>
        </w:rPr>
      </w:pPr>
    </w:p>
    <w:p w14:paraId="4366D514"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 figures set out above have been calculated using the standard methodologies used in the Equality Act 2010 (Gender Pay Gap Information) Regulations 2017.</w:t>
      </w:r>
    </w:p>
    <w:p w14:paraId="5B092785" w14:textId="77777777" w:rsidR="006B5F14" w:rsidRPr="009B6476" w:rsidRDefault="006B5F14" w:rsidP="006B5F14">
      <w:pPr>
        <w:widowControl w:val="0"/>
        <w:autoSpaceDE w:val="0"/>
        <w:autoSpaceDN w:val="0"/>
        <w:adjustRightInd w:val="0"/>
        <w:ind w:left="180"/>
        <w:jc w:val="both"/>
        <w:rPr>
          <w:rFonts w:ascii="Arial" w:hAnsi="Arial" w:cs="Arial"/>
          <w:sz w:val="21"/>
          <w:szCs w:val="21"/>
          <w:highlight w:val="yellow"/>
        </w:rPr>
      </w:pPr>
    </w:p>
    <w:p w14:paraId="093E0F8F"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 xml:space="preserve">The mean, commonly known as the average, is calculated when you add up the wages of all employees and divide the figure by the number of employees. The mean gender pay gap is the difference between mean male pay and mean female pay. </w:t>
      </w:r>
    </w:p>
    <w:p w14:paraId="2CE78631"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4913C3D7"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 median is the figure that falls in the middle of a range when everyone’s wages are lined up from smallest to largest. The median gap is the difference between the employee in the middle of the range of male wages and the middle employee in the range of female wages.</w:t>
      </w:r>
    </w:p>
    <w:p w14:paraId="164CF83C"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21DBC335"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 xml:space="preserve">The use of the two different types of average is helpful in giving a more balanced overview of the organisations overall gender pay gap. The mean average gives a good overall indication but if very large or small pay rates </w:t>
      </w:r>
      <w:proofErr w:type="gramStart"/>
      <w:r w:rsidRPr="009B6476">
        <w:rPr>
          <w:rFonts w:ascii="Arial" w:hAnsi="Arial" w:cs="Arial"/>
          <w:sz w:val="21"/>
          <w:szCs w:val="21"/>
        </w:rPr>
        <w:t>dominate</w:t>
      </w:r>
      <w:proofErr w:type="gramEnd"/>
      <w:r w:rsidRPr="009B6476">
        <w:rPr>
          <w:rFonts w:ascii="Arial" w:hAnsi="Arial" w:cs="Arial"/>
          <w:sz w:val="21"/>
          <w:szCs w:val="21"/>
        </w:rPr>
        <w:t xml:space="preserve"> they can distort the picture. The median average is useful in that it indicates what the typical situation is in the middle of the organisation and is not distorted by pay rates at the two extremes. However, used on its own it may result in gender pay gap issues not being picked up. </w:t>
      </w:r>
    </w:p>
    <w:p w14:paraId="06DC7E95" w14:textId="77777777" w:rsidR="006B5F14" w:rsidRPr="009B6476" w:rsidRDefault="006B5F14" w:rsidP="006B5F14">
      <w:pPr>
        <w:widowControl w:val="0"/>
        <w:autoSpaceDE w:val="0"/>
        <w:autoSpaceDN w:val="0"/>
        <w:adjustRightInd w:val="0"/>
        <w:spacing w:line="314" w:lineRule="exact"/>
        <w:jc w:val="both"/>
        <w:rPr>
          <w:rFonts w:ascii="Arial" w:hAnsi="Arial" w:cs="Arial"/>
          <w:b/>
          <w:sz w:val="21"/>
          <w:szCs w:val="21"/>
        </w:rPr>
      </w:pPr>
      <w:bookmarkStart w:id="0" w:name="page2"/>
      <w:bookmarkEnd w:id="0"/>
    </w:p>
    <w:p w14:paraId="53F0C1B1" w14:textId="77777777" w:rsidR="006B5F14" w:rsidRPr="009B6476" w:rsidRDefault="006B5F14" w:rsidP="006B5F14">
      <w:pPr>
        <w:widowControl w:val="0"/>
        <w:autoSpaceDE w:val="0"/>
        <w:autoSpaceDN w:val="0"/>
        <w:adjustRightInd w:val="0"/>
        <w:ind w:left="180"/>
        <w:jc w:val="both"/>
        <w:rPr>
          <w:rFonts w:ascii="Arial" w:hAnsi="Arial" w:cs="Arial"/>
          <w:b/>
          <w:sz w:val="21"/>
          <w:szCs w:val="21"/>
        </w:rPr>
      </w:pPr>
      <w:r w:rsidRPr="009B6476">
        <w:rPr>
          <w:rFonts w:ascii="Arial" w:hAnsi="Arial" w:cs="Arial"/>
          <w:b/>
          <w:sz w:val="21"/>
          <w:szCs w:val="21"/>
        </w:rPr>
        <w:t>The underlying causes of the College's Gender Pay Gap</w:t>
      </w:r>
    </w:p>
    <w:p w14:paraId="5643798B" w14:textId="77777777" w:rsidR="006B5F14" w:rsidRPr="009B6476" w:rsidRDefault="006B5F14" w:rsidP="006B5F14">
      <w:pPr>
        <w:widowControl w:val="0"/>
        <w:autoSpaceDE w:val="0"/>
        <w:autoSpaceDN w:val="0"/>
        <w:adjustRightInd w:val="0"/>
        <w:ind w:left="180"/>
        <w:jc w:val="both"/>
        <w:rPr>
          <w:rFonts w:ascii="Arial" w:hAnsi="Arial" w:cs="Arial"/>
          <w:b/>
          <w:sz w:val="21"/>
          <w:szCs w:val="21"/>
        </w:rPr>
      </w:pPr>
    </w:p>
    <w:p w14:paraId="759AA5F4"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Under the law, men and women must receive equal pay for:</w:t>
      </w:r>
    </w:p>
    <w:p w14:paraId="48DD8763"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p>
    <w:p w14:paraId="759FC3A4"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the same or broadly similar </w:t>
      </w:r>
      <w:proofErr w:type="gramStart"/>
      <w:r w:rsidRPr="009B6476">
        <w:rPr>
          <w:rFonts w:ascii="Arial" w:hAnsi="Arial" w:cs="Arial"/>
          <w:sz w:val="21"/>
          <w:szCs w:val="21"/>
        </w:rPr>
        <w:t>work;</w:t>
      </w:r>
      <w:proofErr w:type="gramEnd"/>
      <w:r w:rsidRPr="009B6476">
        <w:rPr>
          <w:rFonts w:ascii="Arial" w:hAnsi="Arial" w:cs="Arial"/>
          <w:sz w:val="21"/>
          <w:szCs w:val="21"/>
        </w:rPr>
        <w:t xml:space="preserve"> </w:t>
      </w:r>
    </w:p>
    <w:p w14:paraId="0D217340"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work rated as equivalent under a job evaluation scheme; or </w:t>
      </w:r>
    </w:p>
    <w:p w14:paraId="574F1DB7"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work of equal value. </w:t>
      </w:r>
    </w:p>
    <w:p w14:paraId="1133C98E" w14:textId="77777777" w:rsidR="006B5F14" w:rsidRPr="009B6476" w:rsidRDefault="006B5F14" w:rsidP="006B5F14">
      <w:pPr>
        <w:widowControl w:val="0"/>
        <w:autoSpaceDE w:val="0"/>
        <w:autoSpaceDN w:val="0"/>
        <w:adjustRightInd w:val="0"/>
        <w:spacing w:line="332" w:lineRule="exact"/>
        <w:jc w:val="both"/>
        <w:rPr>
          <w:rFonts w:ascii="Arial" w:hAnsi="Arial" w:cs="Arial"/>
          <w:b/>
          <w:sz w:val="21"/>
          <w:szCs w:val="21"/>
        </w:rPr>
      </w:pPr>
    </w:p>
    <w:p w14:paraId="0AC7F86C"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 College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w:t>
      </w:r>
    </w:p>
    <w:p w14:paraId="349204AD" w14:textId="77777777" w:rsidR="006B5F14" w:rsidRPr="009B6476" w:rsidRDefault="006B5F14" w:rsidP="006B5F14">
      <w:pPr>
        <w:widowControl w:val="0"/>
        <w:autoSpaceDE w:val="0"/>
        <w:autoSpaceDN w:val="0"/>
        <w:adjustRightInd w:val="0"/>
        <w:spacing w:line="286" w:lineRule="exact"/>
        <w:jc w:val="both"/>
        <w:rPr>
          <w:rFonts w:ascii="Arial" w:hAnsi="Arial" w:cs="Arial"/>
          <w:b/>
          <w:sz w:val="21"/>
          <w:szCs w:val="21"/>
        </w:rPr>
      </w:pPr>
    </w:p>
    <w:p w14:paraId="60CA3896"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Uses objective salary scales and spinal column points to establish salaries for </w:t>
      </w:r>
      <w:proofErr w:type="gramStart"/>
      <w:r w:rsidRPr="009B6476">
        <w:rPr>
          <w:rFonts w:ascii="Arial" w:hAnsi="Arial" w:cs="Arial"/>
          <w:sz w:val="21"/>
          <w:szCs w:val="21"/>
        </w:rPr>
        <w:t>particular roles</w:t>
      </w:r>
      <w:proofErr w:type="gramEnd"/>
      <w:r w:rsidRPr="009B6476">
        <w:rPr>
          <w:rFonts w:ascii="Arial" w:hAnsi="Arial" w:cs="Arial"/>
          <w:sz w:val="21"/>
          <w:szCs w:val="21"/>
        </w:rPr>
        <w:t xml:space="preserve">. </w:t>
      </w:r>
    </w:p>
    <w:p w14:paraId="48E9C73B"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Only varying this approach where the job market dictates the need to do so to facilitate recruitment of good and outstanding staff members. </w:t>
      </w:r>
    </w:p>
    <w:p w14:paraId="4B8CFC1F" w14:textId="77777777" w:rsidR="006B5F14" w:rsidRPr="009B6476" w:rsidRDefault="006B5F14" w:rsidP="006B5F14">
      <w:pPr>
        <w:pStyle w:val="ListParagraph"/>
        <w:widowControl w:val="0"/>
        <w:numPr>
          <w:ilvl w:val="0"/>
          <w:numId w:val="3"/>
        </w:numPr>
        <w:autoSpaceDE w:val="0"/>
        <w:autoSpaceDN w:val="0"/>
        <w:adjustRightInd w:val="0"/>
        <w:jc w:val="both"/>
        <w:rPr>
          <w:rFonts w:ascii="Arial" w:hAnsi="Arial" w:cs="Arial"/>
          <w:sz w:val="21"/>
          <w:szCs w:val="21"/>
        </w:rPr>
      </w:pPr>
      <w:r w:rsidRPr="009B6476">
        <w:rPr>
          <w:rFonts w:ascii="Arial" w:hAnsi="Arial" w:cs="Arial"/>
          <w:sz w:val="21"/>
          <w:szCs w:val="21"/>
        </w:rPr>
        <w:t xml:space="preserve">Evaluates job roles and salary scales as necessary to ensure a fair pay structure. </w:t>
      </w:r>
    </w:p>
    <w:p w14:paraId="7AB11B5B" w14:textId="77777777" w:rsidR="006B5F14" w:rsidRPr="009B6476" w:rsidRDefault="006B5F14" w:rsidP="006B5F14">
      <w:pPr>
        <w:widowControl w:val="0"/>
        <w:autoSpaceDE w:val="0"/>
        <w:autoSpaceDN w:val="0"/>
        <w:adjustRightInd w:val="0"/>
        <w:spacing w:line="334" w:lineRule="exact"/>
        <w:jc w:val="both"/>
        <w:rPr>
          <w:rFonts w:ascii="Arial" w:hAnsi="Arial" w:cs="Arial"/>
          <w:b/>
          <w:sz w:val="21"/>
          <w:szCs w:val="21"/>
        </w:rPr>
      </w:pPr>
    </w:p>
    <w:p w14:paraId="77737A0D"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The College is therefore confident that our gender pay gap does not stem from paying men and women differently for the same or equivalent work. The gender pay gap is the result of the roles in which men and women work within in the College and the salaries that these roles attract.</w:t>
      </w:r>
    </w:p>
    <w:p w14:paraId="241E38A4" w14:textId="77777777" w:rsidR="006B5F14" w:rsidRPr="009B6476" w:rsidRDefault="006B5F14" w:rsidP="006B5F14">
      <w:pPr>
        <w:widowControl w:val="0"/>
        <w:autoSpaceDE w:val="0"/>
        <w:autoSpaceDN w:val="0"/>
        <w:adjustRightInd w:val="0"/>
        <w:spacing w:line="332" w:lineRule="exact"/>
        <w:jc w:val="both"/>
        <w:rPr>
          <w:rFonts w:ascii="Arial" w:hAnsi="Arial" w:cs="Arial"/>
          <w:b/>
          <w:sz w:val="21"/>
          <w:szCs w:val="21"/>
        </w:rPr>
      </w:pPr>
    </w:p>
    <w:p w14:paraId="366F9F0E" w14:textId="77777777" w:rsidR="006B5F14" w:rsidRPr="009B6476" w:rsidRDefault="006B5F14" w:rsidP="006B5F14">
      <w:pPr>
        <w:widowControl w:val="0"/>
        <w:autoSpaceDE w:val="0"/>
        <w:autoSpaceDN w:val="0"/>
        <w:adjustRightInd w:val="0"/>
        <w:ind w:left="180"/>
        <w:jc w:val="both"/>
        <w:rPr>
          <w:rFonts w:ascii="Arial" w:hAnsi="Arial" w:cs="Arial"/>
          <w:color w:val="FF0000"/>
          <w:sz w:val="21"/>
          <w:szCs w:val="21"/>
        </w:rPr>
      </w:pPr>
      <w:r w:rsidRPr="009B6476">
        <w:rPr>
          <w:rFonts w:ascii="Arial" w:hAnsi="Arial" w:cs="Arial"/>
          <w:sz w:val="21"/>
          <w:szCs w:val="21"/>
        </w:rPr>
        <w:t xml:space="preserve">Women are more likely than men to be in front-line and clerical/ administrative roles at the lower end of the organisation. Women are also more likely than men to have had breaks from work that have affected their career progression, for example to bring up children. The menopause also has the potential to disrupt careers of women and to harm their chances of moving into more senior roles.  They are also more likely to work part time, and many of the jobs that are available across the UK on a part-time basis are relatively low paid. </w:t>
      </w:r>
    </w:p>
    <w:p w14:paraId="7335ADC1" w14:textId="77777777" w:rsidR="006B5F14" w:rsidRPr="009B6476" w:rsidRDefault="006B5F14" w:rsidP="006B5F14">
      <w:pPr>
        <w:widowControl w:val="0"/>
        <w:autoSpaceDE w:val="0"/>
        <w:autoSpaceDN w:val="0"/>
        <w:adjustRightInd w:val="0"/>
        <w:spacing w:line="331" w:lineRule="exact"/>
        <w:jc w:val="both"/>
        <w:rPr>
          <w:rFonts w:ascii="Arial" w:hAnsi="Arial" w:cs="Arial"/>
          <w:b/>
          <w:sz w:val="21"/>
          <w:szCs w:val="21"/>
          <w:highlight w:val="yellow"/>
        </w:rPr>
      </w:pPr>
    </w:p>
    <w:p w14:paraId="6D57C4DD" w14:textId="77777777" w:rsidR="006B5F14" w:rsidRPr="009B6476" w:rsidRDefault="006B5F14" w:rsidP="006B5F14">
      <w:pPr>
        <w:widowControl w:val="0"/>
        <w:autoSpaceDE w:val="0"/>
        <w:autoSpaceDN w:val="0"/>
        <w:adjustRightInd w:val="0"/>
        <w:ind w:left="180"/>
        <w:jc w:val="both"/>
        <w:rPr>
          <w:rFonts w:ascii="Arial" w:hAnsi="Arial" w:cs="Arial"/>
          <w:sz w:val="21"/>
          <w:szCs w:val="21"/>
        </w:rPr>
      </w:pPr>
      <w:r w:rsidRPr="009B6476">
        <w:rPr>
          <w:rFonts w:ascii="Arial" w:hAnsi="Arial" w:cs="Arial"/>
          <w:sz w:val="21"/>
          <w:szCs w:val="21"/>
        </w:rPr>
        <w:t xml:space="preserve">This pattern from the UK economy </w:t>
      </w:r>
      <w:proofErr w:type="gramStart"/>
      <w:r w:rsidRPr="009B6476">
        <w:rPr>
          <w:rFonts w:ascii="Arial" w:hAnsi="Arial" w:cs="Arial"/>
          <w:sz w:val="21"/>
          <w:szCs w:val="21"/>
        </w:rPr>
        <w:t>as a whole is</w:t>
      </w:r>
      <w:proofErr w:type="gramEnd"/>
      <w:r w:rsidRPr="009B6476">
        <w:rPr>
          <w:rFonts w:ascii="Arial" w:hAnsi="Arial" w:cs="Arial"/>
          <w:sz w:val="21"/>
          <w:szCs w:val="21"/>
        </w:rPr>
        <w:t xml:space="preserve"> reflected in the make-up of the College’s workforce in Quartile 1, where many of the roles are filled by more women than men. There is a more equal balance between men and women in Quartile 2, 3 and 4, with </w:t>
      </w:r>
      <w:proofErr w:type="gramStart"/>
      <w:r w:rsidRPr="009B6476">
        <w:rPr>
          <w:rFonts w:ascii="Arial" w:hAnsi="Arial" w:cs="Arial"/>
          <w:sz w:val="21"/>
          <w:szCs w:val="21"/>
        </w:rPr>
        <w:t>the majority of</w:t>
      </w:r>
      <w:proofErr w:type="gramEnd"/>
      <w:r w:rsidRPr="009B6476">
        <w:rPr>
          <w:rFonts w:ascii="Arial" w:hAnsi="Arial" w:cs="Arial"/>
          <w:sz w:val="21"/>
          <w:szCs w:val="21"/>
        </w:rPr>
        <w:t xml:space="preserve"> senior post holders being women. Within Quartile 1 there are larger numbers of women than men in virtually all occupations. There are no men employed within the Nursery or within </w:t>
      </w:r>
      <w:proofErr w:type="spellStart"/>
      <w:r w:rsidRPr="009B6476">
        <w:rPr>
          <w:rFonts w:ascii="Arial" w:hAnsi="Arial" w:cs="Arial"/>
          <w:sz w:val="21"/>
          <w:szCs w:val="21"/>
        </w:rPr>
        <w:t>SharEd</w:t>
      </w:r>
      <w:proofErr w:type="spellEnd"/>
      <w:r w:rsidRPr="009B6476">
        <w:rPr>
          <w:rFonts w:ascii="Arial" w:hAnsi="Arial" w:cs="Arial"/>
          <w:sz w:val="21"/>
          <w:szCs w:val="21"/>
        </w:rPr>
        <w:t xml:space="preserve"> Catering, and in the largest area of Quartile 1 employment, clerical/ administrative there is an overwhelming proportion of women. The only area in which men outnumber women is within Facilities. </w:t>
      </w:r>
    </w:p>
    <w:p w14:paraId="4B394E82" w14:textId="77777777" w:rsidR="00AE497E" w:rsidRDefault="00AE497E"/>
    <w:sectPr w:rsidR="00AE4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92E72"/>
    <w:multiLevelType w:val="hybridMultilevel"/>
    <w:tmpl w:val="184A54F6"/>
    <w:lvl w:ilvl="0" w:tplc="0809000F">
      <w:start w:val="1"/>
      <w:numFmt w:val="decimal"/>
      <w:lvlText w:val="%1."/>
      <w:lvlJc w:val="left"/>
      <w:pPr>
        <w:ind w:left="2880" w:hanging="360"/>
      </w:p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 w15:restartNumberingAfterBreak="0">
    <w:nsid w:val="49BB4163"/>
    <w:multiLevelType w:val="hybridMultilevel"/>
    <w:tmpl w:val="5C98A6F2"/>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2" w15:restartNumberingAfterBreak="0">
    <w:nsid w:val="6F043D20"/>
    <w:multiLevelType w:val="hybridMultilevel"/>
    <w:tmpl w:val="184A54F6"/>
    <w:lvl w:ilvl="0" w:tplc="0809000F">
      <w:start w:val="1"/>
      <w:numFmt w:val="decimal"/>
      <w:lvlText w:val="%1."/>
      <w:lvlJc w:val="left"/>
      <w:pPr>
        <w:ind w:left="2880" w:hanging="360"/>
      </w:p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num w:numId="1" w16cid:durableId="471674616">
    <w:abstractNumId w:val="0"/>
    <w:lvlOverride w:ilvl="0">
      <w:startOverride w:val="1"/>
    </w:lvlOverride>
    <w:lvlOverride w:ilvl="1"/>
    <w:lvlOverride w:ilvl="2"/>
    <w:lvlOverride w:ilvl="3"/>
    <w:lvlOverride w:ilvl="4"/>
    <w:lvlOverride w:ilvl="5"/>
    <w:lvlOverride w:ilvl="6"/>
    <w:lvlOverride w:ilvl="7"/>
    <w:lvlOverride w:ilvl="8"/>
  </w:num>
  <w:num w:numId="2" w16cid:durableId="1577085535">
    <w:abstractNumId w:val="2"/>
    <w:lvlOverride w:ilvl="0">
      <w:startOverride w:val="1"/>
    </w:lvlOverride>
    <w:lvlOverride w:ilvl="1"/>
    <w:lvlOverride w:ilvl="2"/>
    <w:lvlOverride w:ilvl="3"/>
    <w:lvlOverride w:ilvl="4"/>
    <w:lvlOverride w:ilvl="5"/>
    <w:lvlOverride w:ilvl="6"/>
    <w:lvlOverride w:ilvl="7"/>
    <w:lvlOverride w:ilvl="8"/>
  </w:num>
  <w:num w:numId="3" w16cid:durableId="30370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14"/>
    <w:rsid w:val="00061093"/>
    <w:rsid w:val="00213BCE"/>
    <w:rsid w:val="00604A1C"/>
    <w:rsid w:val="006B5F14"/>
    <w:rsid w:val="00AE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1749"/>
  <w15:chartTrackingRefBased/>
  <w15:docId w15:val="{77D47AA9-1C38-4534-9C61-7981A54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14"/>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Julie</dc:creator>
  <cp:keywords/>
  <dc:description/>
  <cp:lastModifiedBy>Barnes, Julie</cp:lastModifiedBy>
  <cp:revision>1</cp:revision>
  <dcterms:created xsi:type="dcterms:W3CDTF">2023-07-19T12:30:00Z</dcterms:created>
  <dcterms:modified xsi:type="dcterms:W3CDTF">2023-07-19T12:31:00Z</dcterms:modified>
</cp:coreProperties>
</file>