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E00C6" w14:textId="77777777" w:rsidR="009607DB" w:rsidRPr="00B51CE5" w:rsidRDefault="009607DB" w:rsidP="009607DB">
      <w:pPr>
        <w:pStyle w:val="Heading1"/>
        <w:jc w:val="both"/>
        <w:rPr>
          <w:rFonts w:asciiTheme="minorHAnsi" w:hAnsiTheme="minorHAnsi" w:cstheme="minorHAnsi"/>
          <w:sz w:val="20"/>
        </w:rPr>
      </w:pPr>
    </w:p>
    <w:p w14:paraId="682ED9FD" w14:textId="412385CB" w:rsidR="009607DB" w:rsidRPr="00B51CE5" w:rsidRDefault="009607DB" w:rsidP="009607DB">
      <w:pPr>
        <w:pStyle w:val="Heading1"/>
        <w:jc w:val="both"/>
        <w:rPr>
          <w:rFonts w:asciiTheme="minorHAnsi" w:hAnsiTheme="minorHAnsi" w:cstheme="minorHAnsi"/>
          <w:noProof/>
          <w:sz w:val="20"/>
          <w:lang w:val="en-GB" w:eastAsia="en-GB"/>
        </w:rPr>
      </w:pPr>
      <w:r w:rsidRPr="00B51CE5">
        <w:rPr>
          <w:rFonts w:asciiTheme="minorHAnsi" w:hAnsiTheme="minorHAnsi" w:cstheme="minorHAnsi"/>
          <w:sz w:val="20"/>
        </w:rPr>
        <w:t xml:space="preserve">Tuition Fee Policy </w:t>
      </w:r>
      <w:r w:rsidR="000834F3">
        <w:rPr>
          <w:rFonts w:asciiTheme="minorHAnsi" w:hAnsiTheme="minorHAnsi" w:cstheme="minorHAnsi"/>
          <w:sz w:val="20"/>
        </w:rPr>
        <w:t>2023/24</w:t>
      </w:r>
    </w:p>
    <w:p w14:paraId="686DA70F" w14:textId="77777777" w:rsidR="009607DB" w:rsidRPr="00B51CE5" w:rsidRDefault="009607DB" w:rsidP="009607DB">
      <w:pPr>
        <w:jc w:val="both"/>
        <w:rPr>
          <w:rFonts w:asciiTheme="minorHAnsi" w:hAnsiTheme="minorHAnsi" w:cstheme="minorHAnsi"/>
          <w:sz w:val="20"/>
          <w:lang w:val="en-US"/>
        </w:rPr>
      </w:pPr>
    </w:p>
    <w:p w14:paraId="3ABAD08C" w14:textId="7DE4E2FA" w:rsidR="002F7197" w:rsidRPr="00B51CE5" w:rsidRDefault="002F7197" w:rsidP="002F7197">
      <w:pPr>
        <w:rPr>
          <w:rFonts w:asciiTheme="minorHAnsi" w:hAnsiTheme="minorHAnsi" w:cstheme="minorHAnsi"/>
          <w:sz w:val="20"/>
        </w:rPr>
      </w:pPr>
      <w:r w:rsidRPr="00B51CE5">
        <w:rPr>
          <w:rFonts w:asciiTheme="minorHAnsi" w:hAnsiTheme="minorHAnsi" w:cstheme="minorHAnsi"/>
          <w:b/>
          <w:sz w:val="20"/>
        </w:rPr>
        <w:t>16-18 ESFA Funded Provision (Includes 19-24 year olds with EHCP</w:t>
      </w:r>
      <w:r w:rsidR="007F3E8D" w:rsidRPr="00B51CE5">
        <w:rPr>
          <w:rFonts w:asciiTheme="minorHAnsi" w:hAnsiTheme="minorHAnsi" w:cstheme="minorHAnsi"/>
          <w:b/>
          <w:sz w:val="20"/>
        </w:rPr>
        <w:t>)</w:t>
      </w:r>
      <w:r w:rsidRPr="00B51CE5">
        <w:rPr>
          <w:rFonts w:asciiTheme="minorHAnsi" w:hAnsiTheme="minorHAnsi" w:cstheme="minorHAnsi"/>
          <w:sz w:val="20"/>
        </w:rPr>
        <w:t xml:space="preserve"> </w:t>
      </w:r>
    </w:p>
    <w:p w14:paraId="327D8BD7" w14:textId="77777777" w:rsidR="002F7197" w:rsidRPr="00B51CE5" w:rsidRDefault="002F7197" w:rsidP="002F7197">
      <w:pPr>
        <w:rPr>
          <w:rFonts w:asciiTheme="minorHAnsi" w:hAnsiTheme="minorHAnsi" w:cstheme="minorHAnsi"/>
          <w:sz w:val="20"/>
        </w:rPr>
      </w:pPr>
    </w:p>
    <w:p w14:paraId="156A8C9A" w14:textId="77777777" w:rsidR="002F7197" w:rsidRPr="00B51CE5" w:rsidRDefault="002F7197" w:rsidP="002F7197">
      <w:pPr>
        <w:jc w:val="both"/>
        <w:rPr>
          <w:rFonts w:asciiTheme="minorHAnsi" w:hAnsiTheme="minorHAnsi" w:cstheme="minorHAnsi"/>
          <w:sz w:val="20"/>
        </w:rPr>
      </w:pPr>
      <w:r w:rsidRPr="00B51CE5">
        <w:rPr>
          <w:rFonts w:asciiTheme="minorHAnsi" w:hAnsiTheme="minorHAnsi" w:cstheme="minorHAnsi"/>
          <w:sz w:val="20"/>
        </w:rPr>
        <w:t>Learners who are/will be 16, 17 or 18 on the 31</w:t>
      </w:r>
      <w:r w:rsidRPr="00B51CE5">
        <w:rPr>
          <w:rFonts w:asciiTheme="minorHAnsi" w:hAnsiTheme="minorHAnsi" w:cstheme="minorHAnsi"/>
          <w:sz w:val="20"/>
          <w:vertAlign w:val="superscript"/>
        </w:rPr>
        <w:t>st</w:t>
      </w:r>
      <w:r w:rsidRPr="00B51CE5">
        <w:rPr>
          <w:rFonts w:asciiTheme="minorHAnsi" w:hAnsiTheme="minorHAnsi" w:cstheme="minorHAnsi"/>
          <w:sz w:val="20"/>
        </w:rPr>
        <w:t xml:space="preserve"> August in the calendar year when they begin a programme of study, will NOT pay tuition fees, registration fees or examination fees. </w:t>
      </w:r>
    </w:p>
    <w:p w14:paraId="33A0AD16" w14:textId="77777777" w:rsidR="002F7197" w:rsidRPr="00B51CE5" w:rsidRDefault="002F7197" w:rsidP="002F7197">
      <w:pPr>
        <w:jc w:val="both"/>
        <w:rPr>
          <w:rFonts w:asciiTheme="minorHAnsi" w:hAnsiTheme="minorHAnsi" w:cstheme="minorHAnsi"/>
          <w:sz w:val="20"/>
        </w:rPr>
      </w:pPr>
    </w:p>
    <w:p w14:paraId="361D0739" w14:textId="77777777" w:rsidR="002F7197" w:rsidRPr="00B51CE5" w:rsidRDefault="002F7197" w:rsidP="002F7197">
      <w:pPr>
        <w:jc w:val="both"/>
        <w:rPr>
          <w:rFonts w:asciiTheme="minorHAnsi" w:hAnsiTheme="minorHAnsi" w:cstheme="minorHAnsi"/>
          <w:sz w:val="20"/>
        </w:rPr>
      </w:pPr>
      <w:r w:rsidRPr="00B51CE5">
        <w:rPr>
          <w:rFonts w:asciiTheme="minorHAnsi" w:hAnsiTheme="minorHAnsi" w:cstheme="minorHAnsi"/>
          <w:sz w:val="20"/>
        </w:rPr>
        <w:t xml:space="preserve">Where clothing or equipment is necessary for the student’s health or safety, a charge may be made for clothing and equipment that the student retains, but only if the student also has the option of borrowing the clothing or equipment free of charge.  </w:t>
      </w:r>
    </w:p>
    <w:p w14:paraId="12AAF492" w14:textId="77777777" w:rsidR="002F7197" w:rsidRPr="00B51CE5" w:rsidRDefault="002F7197" w:rsidP="002F7197">
      <w:pPr>
        <w:pStyle w:val="Default"/>
        <w:jc w:val="both"/>
        <w:rPr>
          <w:rFonts w:asciiTheme="minorHAnsi" w:hAnsiTheme="minorHAnsi" w:cstheme="minorHAnsi"/>
          <w:sz w:val="20"/>
          <w:szCs w:val="20"/>
        </w:rPr>
      </w:pPr>
    </w:p>
    <w:p w14:paraId="7543D204" w14:textId="77777777" w:rsidR="00141F4F" w:rsidRPr="00B51CE5" w:rsidRDefault="00141F4F" w:rsidP="00141F4F">
      <w:pPr>
        <w:jc w:val="both"/>
        <w:rPr>
          <w:rFonts w:asciiTheme="minorHAnsi" w:hAnsiTheme="minorHAnsi" w:cstheme="minorHAnsi"/>
          <w:sz w:val="20"/>
        </w:rPr>
      </w:pPr>
      <w:r w:rsidRPr="00B51CE5">
        <w:rPr>
          <w:rFonts w:asciiTheme="minorHAnsi" w:hAnsiTheme="minorHAnsi" w:cstheme="minorHAnsi"/>
          <w:sz w:val="20"/>
        </w:rPr>
        <w:t>In certain areas students will be encouraged to purchase their own kit, which they can take with them when they leave.</w:t>
      </w:r>
    </w:p>
    <w:p w14:paraId="45DCDD23" w14:textId="77777777" w:rsidR="00141F4F" w:rsidRPr="00B51CE5" w:rsidRDefault="00141F4F" w:rsidP="00141F4F">
      <w:pPr>
        <w:jc w:val="both"/>
        <w:rPr>
          <w:rFonts w:asciiTheme="minorHAnsi" w:hAnsiTheme="minorHAnsi" w:cstheme="minorHAnsi"/>
          <w:sz w:val="20"/>
        </w:rPr>
      </w:pPr>
    </w:p>
    <w:p w14:paraId="437536DE" w14:textId="633162E3" w:rsidR="002F7197" w:rsidRPr="00B51CE5" w:rsidRDefault="002F7197" w:rsidP="002F7197">
      <w:pPr>
        <w:pStyle w:val="Default"/>
        <w:jc w:val="both"/>
        <w:rPr>
          <w:rFonts w:asciiTheme="minorHAnsi" w:hAnsiTheme="minorHAnsi" w:cstheme="minorHAnsi"/>
          <w:sz w:val="20"/>
          <w:szCs w:val="20"/>
        </w:rPr>
      </w:pPr>
      <w:r w:rsidRPr="00B51CE5">
        <w:rPr>
          <w:rFonts w:asciiTheme="minorHAnsi" w:hAnsiTheme="minorHAnsi" w:cstheme="minorHAnsi"/>
          <w:sz w:val="20"/>
          <w:szCs w:val="20"/>
        </w:rPr>
        <w:t>The College may charge for examinations and re-sits when funding criteria are met.  A full set of charges rules in relation to 16-18 year old learners can be found in the ESFA Funding Guidance for Young People here:</w:t>
      </w:r>
    </w:p>
    <w:p w14:paraId="37DB91B8" w14:textId="72754626" w:rsidR="002F7197" w:rsidRPr="00B51CE5" w:rsidRDefault="002F7197" w:rsidP="002F7197">
      <w:pPr>
        <w:jc w:val="both"/>
        <w:rPr>
          <w:rFonts w:asciiTheme="minorHAnsi" w:hAnsiTheme="minorHAnsi" w:cstheme="minorHAnsi"/>
          <w:sz w:val="20"/>
          <w:highlight w:val="yellow"/>
        </w:rPr>
      </w:pPr>
    </w:p>
    <w:p w14:paraId="72558038" w14:textId="18060468" w:rsidR="009D478B" w:rsidRPr="003D3654" w:rsidRDefault="0044047B" w:rsidP="002F7197">
      <w:pPr>
        <w:jc w:val="both"/>
        <w:rPr>
          <w:rFonts w:asciiTheme="minorHAnsi" w:hAnsiTheme="minorHAnsi" w:cstheme="minorHAnsi"/>
          <w:sz w:val="20"/>
        </w:rPr>
      </w:pPr>
      <w:hyperlink r:id="rId12" w:history="1">
        <w:r w:rsidR="003D3654" w:rsidRPr="003D3654">
          <w:rPr>
            <w:rStyle w:val="Hyperlink"/>
            <w:rFonts w:asciiTheme="minorHAnsi" w:hAnsiTheme="minorHAnsi" w:cstheme="minorHAnsi"/>
            <w:sz w:val="20"/>
          </w:rPr>
          <w:t>https://assets.publishing.service.gov.uk/government/uploads/system/uploads/attachment_data/file/1147131/16_to_19_funding_guidance_Regulations_2023_to_2024-Final_Draft_1_AR_commsME__1_.pdf</w:t>
        </w:r>
      </w:hyperlink>
    </w:p>
    <w:p w14:paraId="19062ADB" w14:textId="77777777" w:rsidR="003D3654" w:rsidRPr="00B51CE5" w:rsidRDefault="003D3654" w:rsidP="002F7197">
      <w:pPr>
        <w:jc w:val="both"/>
        <w:rPr>
          <w:rFonts w:asciiTheme="minorHAnsi" w:hAnsiTheme="minorHAnsi" w:cstheme="minorHAnsi"/>
          <w:sz w:val="20"/>
          <w:highlight w:val="yellow"/>
        </w:rPr>
      </w:pPr>
    </w:p>
    <w:p w14:paraId="0BE7B419" w14:textId="77777777" w:rsidR="002F7197" w:rsidRPr="00B51CE5" w:rsidRDefault="002F7197" w:rsidP="002F7197">
      <w:pPr>
        <w:rPr>
          <w:rFonts w:asciiTheme="minorHAnsi" w:hAnsiTheme="minorHAnsi" w:cstheme="minorHAnsi"/>
          <w:b/>
          <w:sz w:val="20"/>
        </w:rPr>
      </w:pPr>
      <w:r w:rsidRPr="00B51CE5">
        <w:rPr>
          <w:rFonts w:asciiTheme="minorHAnsi" w:hAnsiTheme="minorHAnsi" w:cstheme="minorHAnsi"/>
          <w:b/>
          <w:sz w:val="20"/>
        </w:rPr>
        <w:t>Adult Education Provision - Classroom based</w:t>
      </w:r>
    </w:p>
    <w:p w14:paraId="145F6E91" w14:textId="77777777" w:rsidR="002F7197" w:rsidRPr="00B51CE5" w:rsidRDefault="002F7197" w:rsidP="00D06A73">
      <w:pPr>
        <w:jc w:val="both"/>
        <w:rPr>
          <w:rFonts w:asciiTheme="minorHAnsi" w:hAnsiTheme="minorHAnsi" w:cstheme="minorHAnsi"/>
          <w:sz w:val="20"/>
        </w:rPr>
      </w:pPr>
    </w:p>
    <w:p w14:paraId="0EACDF67" w14:textId="28211C95" w:rsidR="00D06A73" w:rsidRPr="00B51CE5" w:rsidRDefault="00D06A73" w:rsidP="00D06A73">
      <w:pPr>
        <w:jc w:val="both"/>
        <w:rPr>
          <w:rFonts w:asciiTheme="minorHAnsi" w:hAnsiTheme="minorHAnsi" w:cstheme="minorHAnsi"/>
          <w:sz w:val="20"/>
        </w:rPr>
      </w:pPr>
      <w:r w:rsidRPr="00B51CE5">
        <w:rPr>
          <w:rFonts w:asciiTheme="minorHAnsi" w:hAnsiTheme="minorHAnsi" w:cstheme="minorHAnsi"/>
          <w:sz w:val="20"/>
        </w:rPr>
        <w:t xml:space="preserve">The devolution of adult education functions to specified combined authorities and the Mayor of London will apply in relation to the academic year from 1 August 2019. The following Combined Authorities will exercise, in relation to their area, certain adult education functions of the Secretary of State under the Apprenticeships, Skills, Children and Learning Act 2009. </w:t>
      </w:r>
    </w:p>
    <w:p w14:paraId="57425E1B" w14:textId="77777777" w:rsidR="00D06A73" w:rsidRPr="00B51CE5" w:rsidRDefault="00D06A73" w:rsidP="00D06A73">
      <w:pPr>
        <w:jc w:val="both"/>
        <w:rPr>
          <w:rFonts w:asciiTheme="minorHAnsi" w:hAnsiTheme="minorHAnsi" w:cstheme="minorHAnsi"/>
          <w:sz w:val="20"/>
        </w:rPr>
      </w:pPr>
    </w:p>
    <w:p w14:paraId="19033CC0" w14:textId="195253C0" w:rsidR="00D06A73" w:rsidRPr="00B51CE5" w:rsidRDefault="00D06A73" w:rsidP="00D06A73">
      <w:pPr>
        <w:pStyle w:val="ListParagraph"/>
        <w:numPr>
          <w:ilvl w:val="0"/>
          <w:numId w:val="33"/>
        </w:numPr>
        <w:jc w:val="both"/>
        <w:rPr>
          <w:rFonts w:asciiTheme="minorHAnsi" w:hAnsiTheme="minorHAnsi" w:cstheme="minorHAnsi"/>
          <w:sz w:val="20"/>
        </w:rPr>
      </w:pPr>
      <w:r w:rsidRPr="00B51CE5">
        <w:rPr>
          <w:rFonts w:asciiTheme="minorHAnsi" w:hAnsiTheme="minorHAnsi" w:cstheme="minorHAnsi"/>
          <w:sz w:val="20"/>
        </w:rPr>
        <w:t xml:space="preserve">The Greater Manchester Combined Authority </w:t>
      </w:r>
    </w:p>
    <w:p w14:paraId="2C3E4C6C" w14:textId="3FDDD7EA" w:rsidR="00D06A73" w:rsidRPr="00B51CE5" w:rsidRDefault="00D06A73" w:rsidP="00D06A73">
      <w:pPr>
        <w:pStyle w:val="ListParagraph"/>
        <w:numPr>
          <w:ilvl w:val="0"/>
          <w:numId w:val="33"/>
        </w:numPr>
        <w:jc w:val="both"/>
        <w:rPr>
          <w:rFonts w:asciiTheme="minorHAnsi" w:hAnsiTheme="minorHAnsi" w:cstheme="minorHAnsi"/>
          <w:sz w:val="20"/>
        </w:rPr>
      </w:pPr>
      <w:r w:rsidRPr="00B51CE5">
        <w:rPr>
          <w:rFonts w:asciiTheme="minorHAnsi" w:hAnsiTheme="minorHAnsi" w:cstheme="minorHAnsi"/>
          <w:sz w:val="20"/>
        </w:rPr>
        <w:t xml:space="preserve">The Liverpool City Region Combined Authority </w:t>
      </w:r>
    </w:p>
    <w:p w14:paraId="6D068753" w14:textId="32FA0F66" w:rsidR="00D06A73" w:rsidRPr="00B51CE5" w:rsidRDefault="00D06A73" w:rsidP="00D06A73">
      <w:pPr>
        <w:pStyle w:val="ListParagraph"/>
        <w:numPr>
          <w:ilvl w:val="0"/>
          <w:numId w:val="33"/>
        </w:numPr>
        <w:jc w:val="both"/>
        <w:rPr>
          <w:rFonts w:asciiTheme="minorHAnsi" w:hAnsiTheme="minorHAnsi" w:cstheme="minorHAnsi"/>
          <w:sz w:val="20"/>
        </w:rPr>
      </w:pPr>
      <w:r w:rsidRPr="00B51CE5">
        <w:rPr>
          <w:rFonts w:asciiTheme="minorHAnsi" w:hAnsiTheme="minorHAnsi" w:cstheme="minorHAnsi"/>
          <w:sz w:val="20"/>
        </w:rPr>
        <w:t xml:space="preserve">The West of England Combined Authority </w:t>
      </w:r>
    </w:p>
    <w:p w14:paraId="2E826EEB" w14:textId="1848B42B" w:rsidR="00D06A73" w:rsidRPr="00B51CE5" w:rsidRDefault="00D06A73" w:rsidP="00D06A73">
      <w:pPr>
        <w:pStyle w:val="ListParagraph"/>
        <w:numPr>
          <w:ilvl w:val="0"/>
          <w:numId w:val="33"/>
        </w:numPr>
        <w:jc w:val="both"/>
        <w:rPr>
          <w:rFonts w:asciiTheme="minorHAnsi" w:hAnsiTheme="minorHAnsi" w:cstheme="minorHAnsi"/>
          <w:sz w:val="20"/>
        </w:rPr>
      </w:pPr>
      <w:r w:rsidRPr="00B51CE5">
        <w:rPr>
          <w:rFonts w:asciiTheme="minorHAnsi" w:hAnsiTheme="minorHAnsi" w:cstheme="minorHAnsi"/>
          <w:sz w:val="20"/>
        </w:rPr>
        <w:t xml:space="preserve">The West Midlands Combined Authority </w:t>
      </w:r>
    </w:p>
    <w:p w14:paraId="400F07FF" w14:textId="77777777" w:rsidR="00D06A73" w:rsidRPr="00B51CE5" w:rsidRDefault="00D06A73" w:rsidP="002F7197">
      <w:pPr>
        <w:pStyle w:val="ListParagraph"/>
        <w:numPr>
          <w:ilvl w:val="0"/>
          <w:numId w:val="33"/>
        </w:numPr>
        <w:jc w:val="both"/>
        <w:rPr>
          <w:rFonts w:asciiTheme="minorHAnsi" w:hAnsiTheme="minorHAnsi" w:cstheme="minorHAnsi"/>
          <w:sz w:val="20"/>
        </w:rPr>
      </w:pPr>
      <w:r w:rsidRPr="00B51CE5">
        <w:rPr>
          <w:rFonts w:asciiTheme="minorHAnsi" w:hAnsiTheme="minorHAnsi" w:cstheme="minorHAnsi"/>
          <w:sz w:val="20"/>
        </w:rPr>
        <w:t xml:space="preserve">The Tees Valley Combined Authority </w:t>
      </w:r>
    </w:p>
    <w:p w14:paraId="2922B8C6" w14:textId="1BB2982E" w:rsidR="002F7197" w:rsidRPr="00B51CE5" w:rsidRDefault="00D06A73" w:rsidP="002F7197">
      <w:pPr>
        <w:pStyle w:val="ListParagraph"/>
        <w:numPr>
          <w:ilvl w:val="0"/>
          <w:numId w:val="33"/>
        </w:numPr>
        <w:jc w:val="both"/>
        <w:rPr>
          <w:rFonts w:asciiTheme="minorHAnsi" w:hAnsiTheme="minorHAnsi" w:cstheme="minorHAnsi"/>
          <w:sz w:val="20"/>
        </w:rPr>
      </w:pPr>
      <w:r w:rsidRPr="00B51CE5">
        <w:rPr>
          <w:rFonts w:asciiTheme="minorHAnsi" w:hAnsiTheme="minorHAnsi" w:cstheme="minorHAnsi"/>
          <w:sz w:val="20"/>
        </w:rPr>
        <w:t xml:space="preserve">The Cambridgeshire and Peterborough Combined Authority </w:t>
      </w:r>
    </w:p>
    <w:p w14:paraId="21B445A4" w14:textId="77777777" w:rsidR="00D06A73" w:rsidRPr="00B51CE5" w:rsidRDefault="00D06A73" w:rsidP="002F7197">
      <w:pPr>
        <w:rPr>
          <w:rFonts w:asciiTheme="minorHAnsi" w:hAnsiTheme="minorHAnsi" w:cstheme="minorHAnsi"/>
          <w:sz w:val="20"/>
        </w:rPr>
      </w:pPr>
    </w:p>
    <w:p w14:paraId="2D84EEAF" w14:textId="5C4DD883" w:rsidR="00D06A73" w:rsidRPr="00B51CE5" w:rsidRDefault="00F80162" w:rsidP="00F80162">
      <w:pPr>
        <w:jc w:val="both"/>
        <w:rPr>
          <w:rFonts w:asciiTheme="minorHAnsi" w:hAnsiTheme="minorHAnsi" w:cstheme="minorHAnsi"/>
          <w:sz w:val="20"/>
        </w:rPr>
      </w:pPr>
      <w:r w:rsidRPr="00B51CE5">
        <w:rPr>
          <w:rFonts w:asciiTheme="minorHAnsi" w:hAnsiTheme="minorHAnsi" w:cstheme="minorHAnsi"/>
          <w:sz w:val="20"/>
        </w:rPr>
        <w:t>The College will be subject to different Adult Education Budget funding rules dependent on the residency of the learner.</w:t>
      </w:r>
    </w:p>
    <w:p w14:paraId="27E4CE50" w14:textId="77777777" w:rsidR="00CE6FAE" w:rsidRPr="00B51CE5" w:rsidRDefault="00CE6FAE" w:rsidP="00F80162">
      <w:pPr>
        <w:jc w:val="both"/>
        <w:rPr>
          <w:rFonts w:asciiTheme="minorHAnsi" w:hAnsiTheme="minorHAnsi" w:cstheme="minorHAnsi"/>
          <w:sz w:val="20"/>
          <w:highlight w:val="yellow"/>
        </w:rPr>
      </w:pPr>
    </w:p>
    <w:p w14:paraId="2B570F4D" w14:textId="526A3794" w:rsidR="00D351FD" w:rsidRPr="00B51CE5" w:rsidRDefault="00D351FD" w:rsidP="0044047B">
      <w:pPr>
        <w:rPr>
          <w:rFonts w:asciiTheme="minorHAnsi" w:hAnsiTheme="minorHAnsi" w:cstheme="minorHAnsi"/>
          <w:sz w:val="20"/>
        </w:rPr>
        <w:sectPr w:rsidR="00D351FD" w:rsidRPr="00B51CE5" w:rsidSect="00851E07">
          <w:headerReference w:type="default" r:id="rId13"/>
          <w:footerReference w:type="default" r:id="rId14"/>
          <w:pgSz w:w="11906" w:h="16838"/>
          <w:pgMar w:top="1440" w:right="1440" w:bottom="1440" w:left="1440" w:header="708" w:footer="708" w:gutter="0"/>
          <w:cols w:space="708"/>
          <w:docGrid w:linePitch="360"/>
        </w:sectPr>
      </w:pPr>
      <w:r w:rsidRPr="00B51CE5">
        <w:rPr>
          <w:rFonts w:asciiTheme="minorHAnsi" w:hAnsiTheme="minorHAnsi" w:cstheme="minorHAnsi"/>
          <w:color w:val="000000"/>
          <w:sz w:val="20"/>
          <w:bdr w:val="none" w:sz="0" w:space="0" w:color="auto" w:frame="1"/>
          <w:shd w:val="clear" w:color="auto" w:fill="FFFFFF"/>
        </w:rPr>
        <w:t xml:space="preserve">EU, other EEA and Swiss nationals will no longer be eligible for ESFA funded adult education budget funding in England for courses starting in academic year 2021 to 2022.  This will not affect students starting courses in academic year 2020 to 2021.  It will also not apply to Irish nationals living in the UK or Ireland whose right to study and to access benefits and services will be preserved on a reciprocal basis for UK and Irish nationals </w:t>
      </w:r>
      <w:bookmarkStart w:id="0" w:name="_GoBack"/>
      <w:r w:rsidRPr="00B51CE5">
        <w:rPr>
          <w:rFonts w:asciiTheme="minorHAnsi" w:hAnsiTheme="minorHAnsi" w:cstheme="minorHAnsi"/>
          <w:color w:val="000000"/>
          <w:sz w:val="20"/>
          <w:bdr w:val="none" w:sz="0" w:space="0" w:color="auto" w:frame="1"/>
          <w:shd w:val="clear" w:color="auto" w:fill="FFFFFF"/>
        </w:rPr>
        <w:t>under the Common Travel Area </w:t>
      </w:r>
      <w:bookmarkEnd w:id="0"/>
      <w:r w:rsidRPr="00B51CE5">
        <w:rPr>
          <w:rFonts w:asciiTheme="minorHAnsi" w:hAnsiTheme="minorHAnsi" w:cstheme="minorHAnsi"/>
          <w:color w:val="000000"/>
          <w:sz w:val="20"/>
          <w:bdr w:val="none" w:sz="0" w:space="0" w:color="auto" w:frame="1"/>
          <w:shd w:val="clear" w:color="auto" w:fill="FFFFFF"/>
        </w:rPr>
        <w:t>arrangement.</w:t>
      </w:r>
    </w:p>
    <w:p w14:paraId="676C82A4" w14:textId="1D5C4C4B" w:rsidR="00712293" w:rsidRPr="00B51CE5" w:rsidRDefault="00712293" w:rsidP="00712293">
      <w:pPr>
        <w:rPr>
          <w:rFonts w:asciiTheme="minorHAnsi" w:hAnsiTheme="minorHAnsi" w:cstheme="minorHAnsi"/>
          <w:b/>
          <w:sz w:val="20"/>
        </w:rPr>
      </w:pPr>
      <w:r w:rsidRPr="00B51CE5">
        <w:rPr>
          <w:rFonts w:asciiTheme="minorHAnsi" w:hAnsiTheme="minorHAnsi" w:cstheme="minorHAnsi"/>
          <w:b/>
          <w:sz w:val="20"/>
        </w:rPr>
        <w:lastRenderedPageBreak/>
        <w:t>Adult Education Provision – resident of LCR (funded by LCRCA)</w:t>
      </w:r>
    </w:p>
    <w:p w14:paraId="7880115B" w14:textId="77777777" w:rsidR="00BD75E1" w:rsidRPr="00B51CE5" w:rsidRDefault="00BD75E1" w:rsidP="00712293">
      <w:pPr>
        <w:rPr>
          <w:rFonts w:asciiTheme="minorHAnsi" w:hAnsiTheme="minorHAnsi" w:cstheme="minorHAnsi"/>
          <w:b/>
          <w:sz w:val="20"/>
        </w:rPr>
      </w:pPr>
    </w:p>
    <w:p w14:paraId="75CC938F" w14:textId="0F659D4C" w:rsidR="00851E07" w:rsidRPr="00B51CE5" w:rsidRDefault="00851E07" w:rsidP="00851E07">
      <w:pPr>
        <w:jc w:val="both"/>
        <w:rPr>
          <w:rStyle w:val="Hyperlink"/>
          <w:rFonts w:asciiTheme="minorHAnsi" w:hAnsiTheme="minorHAnsi" w:cstheme="minorHAnsi"/>
          <w:noProof/>
          <w:sz w:val="20"/>
          <w:lang w:eastAsia="en-GB"/>
        </w:rPr>
      </w:pPr>
      <w:r w:rsidRPr="00B51CE5">
        <w:rPr>
          <w:rFonts w:asciiTheme="minorHAnsi" w:hAnsiTheme="minorHAnsi" w:cstheme="minorHAnsi"/>
          <w:noProof/>
          <w:sz w:val="20"/>
          <w:lang w:eastAsia="en-GB"/>
        </w:rPr>
        <w:t xml:space="preserve">Learners unless otherwise agreed in writing with the Combined Authority. Learner postcodes can be checked for eligibility at </w:t>
      </w:r>
      <w:hyperlink r:id="rId15" w:history="1">
        <w:r w:rsidRPr="00B51CE5">
          <w:rPr>
            <w:rStyle w:val="Hyperlink"/>
            <w:rFonts w:asciiTheme="minorHAnsi" w:hAnsiTheme="minorHAnsi" w:cstheme="minorHAnsi"/>
            <w:noProof/>
            <w:sz w:val="20"/>
            <w:lang w:eastAsia="en-GB"/>
          </w:rPr>
          <w:t>https://www.gov.uk/find-local-council</w:t>
        </w:r>
      </w:hyperlink>
    </w:p>
    <w:p w14:paraId="48502A5A" w14:textId="46758BF2" w:rsidR="00971D34" w:rsidRPr="00B51CE5" w:rsidRDefault="00971D34" w:rsidP="00851E07">
      <w:pPr>
        <w:jc w:val="both"/>
        <w:rPr>
          <w:rStyle w:val="Hyperlink"/>
          <w:rFonts w:asciiTheme="minorHAnsi" w:hAnsiTheme="minorHAnsi" w:cstheme="minorHAnsi"/>
          <w:noProof/>
          <w:sz w:val="20"/>
          <w:highlight w:val="yellow"/>
          <w:lang w:eastAsia="en-GB"/>
        </w:rPr>
      </w:pPr>
    </w:p>
    <w:p w14:paraId="5168453F" w14:textId="4B0D95F5" w:rsidR="005809D0" w:rsidRDefault="0044047B" w:rsidP="00117B20">
      <w:pPr>
        <w:jc w:val="both"/>
        <w:rPr>
          <w:rFonts w:asciiTheme="minorHAnsi" w:hAnsiTheme="minorHAnsi" w:cstheme="minorHAnsi"/>
          <w:noProof/>
          <w:sz w:val="20"/>
          <w:lang w:eastAsia="en-GB"/>
        </w:rPr>
      </w:pPr>
      <w:hyperlink r:id="rId16" w:history="1">
        <w:r w:rsidR="00BD5203" w:rsidRPr="00170E7A">
          <w:rPr>
            <w:rStyle w:val="Hyperlink"/>
            <w:rFonts w:asciiTheme="minorHAnsi" w:hAnsiTheme="minorHAnsi" w:cstheme="minorHAnsi"/>
            <w:noProof/>
            <w:sz w:val="20"/>
            <w:lang w:eastAsia="en-GB"/>
          </w:rPr>
          <w:t>https://api.liverpoolcityregion-ca.gov.uk/wp-content/uploads/2023/10/LCRCA-AEB-funding-rules-2023-to-2024-June-2023.pdf</w:t>
        </w:r>
      </w:hyperlink>
    </w:p>
    <w:p w14:paraId="75335F2C" w14:textId="77777777" w:rsidR="00BD5203" w:rsidRDefault="00BD5203" w:rsidP="00117B20">
      <w:pPr>
        <w:jc w:val="both"/>
        <w:rPr>
          <w:rFonts w:asciiTheme="minorHAnsi" w:hAnsiTheme="minorHAnsi" w:cstheme="minorHAnsi"/>
          <w:noProof/>
          <w:sz w:val="20"/>
          <w:lang w:eastAsia="en-GB"/>
        </w:rPr>
      </w:pPr>
    </w:p>
    <w:p w14:paraId="2BBC9F31" w14:textId="46383418" w:rsidR="00117B20" w:rsidRPr="00B51CE5" w:rsidRDefault="00117B20" w:rsidP="00117B20">
      <w:pPr>
        <w:jc w:val="both"/>
        <w:rPr>
          <w:rFonts w:asciiTheme="minorHAnsi" w:hAnsiTheme="minorHAnsi" w:cstheme="minorHAnsi"/>
          <w:noProof/>
          <w:sz w:val="20"/>
          <w:lang w:eastAsia="en-GB"/>
        </w:rPr>
      </w:pPr>
      <w:r w:rsidRPr="00B51CE5">
        <w:rPr>
          <w:rFonts w:asciiTheme="minorHAnsi" w:hAnsiTheme="minorHAnsi" w:cstheme="minorHAnsi"/>
          <w:noProof/>
          <w:sz w:val="20"/>
          <w:lang w:eastAsia="en-GB"/>
        </w:rPr>
        <w:t>The following is an extract from the Adult Education Budget performance - management rules funded by the LCRCA:</w:t>
      </w:r>
    </w:p>
    <w:p w14:paraId="311DEDB9" w14:textId="6435A647" w:rsidR="009274CE" w:rsidRPr="00B51CE5" w:rsidRDefault="009274CE" w:rsidP="00117B20">
      <w:pPr>
        <w:jc w:val="both"/>
        <w:rPr>
          <w:rFonts w:asciiTheme="minorHAnsi" w:hAnsiTheme="minorHAnsi" w:cstheme="minorHAnsi"/>
          <w:b/>
          <w:bCs/>
          <w:noProof/>
          <w:sz w:val="20"/>
          <w:lang w:eastAsia="en-GB"/>
        </w:rPr>
      </w:pPr>
    </w:p>
    <w:p w14:paraId="7938CF7D" w14:textId="7327EDB8" w:rsidR="009274CE" w:rsidRPr="00B51CE5" w:rsidRDefault="00A625FE" w:rsidP="00117B20">
      <w:pPr>
        <w:jc w:val="both"/>
        <w:rPr>
          <w:rFonts w:asciiTheme="minorHAnsi" w:hAnsiTheme="minorHAnsi" w:cstheme="minorHAnsi"/>
          <w:b/>
          <w:bCs/>
          <w:noProof/>
          <w:sz w:val="20"/>
          <w:lang w:eastAsia="en-GB"/>
        </w:rPr>
      </w:pPr>
      <w:r w:rsidRPr="00B51CE5">
        <w:rPr>
          <w:rFonts w:asciiTheme="minorHAnsi" w:hAnsiTheme="minorHAnsi" w:cstheme="minorHAnsi"/>
          <w:b/>
          <w:bCs/>
          <w:noProof/>
          <w:sz w:val="20"/>
          <w:lang w:eastAsia="en-GB"/>
        </w:rPr>
        <w:t>LCR AEB Contribution Table 1: Learners aged 19 to 23 year</w:t>
      </w:r>
    </w:p>
    <w:p w14:paraId="5DD79651" w14:textId="32AE7F9D" w:rsidR="00A625FE" w:rsidRPr="00B51CE5" w:rsidRDefault="00A625FE" w:rsidP="00117B20">
      <w:pPr>
        <w:jc w:val="both"/>
        <w:rPr>
          <w:rFonts w:asciiTheme="minorHAnsi" w:hAnsiTheme="minorHAnsi" w:cstheme="minorHAnsi"/>
          <w:b/>
          <w:bCs/>
          <w:noProof/>
          <w:sz w:val="20"/>
          <w:lang w:eastAsia="en-GB"/>
        </w:rPr>
      </w:pPr>
    </w:p>
    <w:p w14:paraId="7FF6736B" w14:textId="589F4029" w:rsidR="00851E07" w:rsidRPr="00B51CE5" w:rsidRDefault="004B0727" w:rsidP="00851E07">
      <w:pPr>
        <w:jc w:val="both"/>
        <w:rPr>
          <w:rFonts w:asciiTheme="minorHAnsi" w:hAnsiTheme="minorHAnsi" w:cstheme="minorHAnsi"/>
          <w:noProof/>
          <w:sz w:val="20"/>
          <w:lang w:eastAsia="en-GB"/>
        </w:rPr>
      </w:pPr>
      <w:r w:rsidRPr="00B51CE5">
        <w:rPr>
          <w:rFonts w:asciiTheme="minorHAnsi" w:hAnsiTheme="minorHAnsi" w:cstheme="minorHAnsi"/>
          <w:noProof/>
          <w:sz w:val="20"/>
          <w:lang w:val="en-US"/>
        </w:rPr>
        <w:drawing>
          <wp:inline distT="0" distB="0" distL="0" distR="0" wp14:anchorId="706D58CE" wp14:editId="2DF4D6F7">
            <wp:extent cx="5143500" cy="531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3500" cy="5314950"/>
                    </a:xfrm>
                    <a:prstGeom prst="rect">
                      <a:avLst/>
                    </a:prstGeom>
                  </pic:spPr>
                </pic:pic>
              </a:graphicData>
            </a:graphic>
          </wp:inline>
        </w:drawing>
      </w:r>
    </w:p>
    <w:p w14:paraId="09D089A2" w14:textId="4C586F10" w:rsidR="00851E07" w:rsidRPr="00B51CE5" w:rsidRDefault="00851E07" w:rsidP="00712293">
      <w:pPr>
        <w:rPr>
          <w:rFonts w:asciiTheme="minorHAnsi" w:hAnsiTheme="minorHAnsi" w:cstheme="minorHAnsi"/>
          <w:b/>
          <w:sz w:val="20"/>
          <w:highlight w:val="yellow"/>
        </w:rPr>
      </w:pPr>
    </w:p>
    <w:p w14:paraId="77A9926C" w14:textId="3F6342BA" w:rsidR="009E5693" w:rsidRPr="00B51CE5" w:rsidRDefault="009E5693" w:rsidP="00712293">
      <w:pPr>
        <w:rPr>
          <w:rFonts w:asciiTheme="minorHAnsi" w:hAnsiTheme="minorHAnsi" w:cstheme="minorHAnsi"/>
          <w:b/>
          <w:sz w:val="20"/>
          <w:highlight w:val="yellow"/>
        </w:rPr>
      </w:pPr>
    </w:p>
    <w:p w14:paraId="5E03BF65" w14:textId="331B9345" w:rsidR="009E5693" w:rsidRPr="00B51CE5" w:rsidRDefault="00535A70" w:rsidP="00535A70">
      <w:pPr>
        <w:spacing w:after="200" w:line="276" w:lineRule="auto"/>
        <w:rPr>
          <w:rFonts w:asciiTheme="minorHAnsi" w:hAnsiTheme="minorHAnsi" w:cstheme="minorHAnsi"/>
          <w:b/>
          <w:bCs/>
          <w:noProof/>
          <w:sz w:val="20"/>
          <w:lang w:eastAsia="en-GB"/>
        </w:rPr>
      </w:pPr>
      <w:r w:rsidRPr="00B51CE5">
        <w:rPr>
          <w:rFonts w:asciiTheme="minorHAnsi" w:hAnsiTheme="minorHAnsi" w:cstheme="minorHAnsi"/>
          <w:b/>
          <w:bCs/>
          <w:noProof/>
          <w:sz w:val="20"/>
          <w:lang w:eastAsia="en-GB"/>
        </w:rPr>
        <w:br w:type="page"/>
      </w:r>
      <w:r w:rsidR="009E5693" w:rsidRPr="00B51CE5">
        <w:rPr>
          <w:rFonts w:asciiTheme="minorHAnsi" w:hAnsiTheme="minorHAnsi" w:cstheme="minorHAnsi"/>
          <w:b/>
          <w:bCs/>
          <w:noProof/>
          <w:sz w:val="20"/>
          <w:lang w:eastAsia="en-GB"/>
        </w:rPr>
        <w:t>LCR AEB Contribution Table 2: Learners aged 24+</w:t>
      </w:r>
    </w:p>
    <w:p w14:paraId="08CA3E38" w14:textId="0121C729" w:rsidR="00CE6FAE" w:rsidRPr="00B51CE5" w:rsidRDefault="00535A70" w:rsidP="00851E07">
      <w:pPr>
        <w:pStyle w:val="Default"/>
        <w:jc w:val="both"/>
        <w:rPr>
          <w:rFonts w:asciiTheme="minorHAnsi" w:hAnsiTheme="minorHAnsi" w:cstheme="minorHAnsi"/>
          <w:sz w:val="20"/>
          <w:szCs w:val="20"/>
          <w:highlight w:val="yellow"/>
        </w:rPr>
      </w:pPr>
      <w:r w:rsidRPr="00B51CE5">
        <w:rPr>
          <w:rFonts w:asciiTheme="minorHAnsi" w:hAnsiTheme="minorHAnsi" w:cstheme="minorHAnsi"/>
          <w:noProof/>
          <w:sz w:val="20"/>
          <w:szCs w:val="20"/>
          <w:lang w:val="en-US"/>
        </w:rPr>
        <w:drawing>
          <wp:inline distT="0" distB="0" distL="0" distR="0" wp14:anchorId="07E22B77" wp14:editId="0AAA3739">
            <wp:extent cx="5229225" cy="472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29225" cy="4724400"/>
                    </a:xfrm>
                    <a:prstGeom prst="rect">
                      <a:avLst/>
                    </a:prstGeom>
                  </pic:spPr>
                </pic:pic>
              </a:graphicData>
            </a:graphic>
          </wp:inline>
        </w:drawing>
      </w:r>
    </w:p>
    <w:p w14:paraId="54860663" w14:textId="77777777" w:rsidR="00851E07" w:rsidRPr="00B51CE5" w:rsidRDefault="00851E07" w:rsidP="00851E07">
      <w:pPr>
        <w:jc w:val="both"/>
        <w:rPr>
          <w:rFonts w:asciiTheme="minorHAnsi" w:hAnsiTheme="minorHAnsi" w:cstheme="minorHAnsi"/>
          <w:b/>
          <w:sz w:val="20"/>
        </w:rPr>
      </w:pPr>
      <w:r w:rsidRPr="00B51CE5">
        <w:rPr>
          <w:rFonts w:asciiTheme="minorHAnsi" w:hAnsiTheme="minorHAnsi" w:cstheme="minorHAnsi"/>
          <w:b/>
          <w:sz w:val="20"/>
        </w:rPr>
        <w:t>Exam fees</w:t>
      </w:r>
    </w:p>
    <w:p w14:paraId="34AFE4D9" w14:textId="77777777" w:rsidR="00851E07" w:rsidRPr="00B51CE5" w:rsidRDefault="00851E07" w:rsidP="00851E07">
      <w:pPr>
        <w:jc w:val="both"/>
        <w:rPr>
          <w:rFonts w:asciiTheme="minorHAnsi" w:hAnsiTheme="minorHAnsi" w:cstheme="minorHAnsi"/>
          <w:sz w:val="20"/>
        </w:rPr>
      </w:pPr>
      <w:r w:rsidRPr="00B51CE5">
        <w:rPr>
          <w:rFonts w:asciiTheme="minorHAnsi" w:hAnsiTheme="minorHAnsi" w:cstheme="minorHAnsi"/>
          <w:sz w:val="20"/>
        </w:rPr>
        <w:t>No exam fee to be charged as tuition fee is set at the maximum loan/weighted fee available. Fees may be charged for re-sits and/or retakes.</w:t>
      </w:r>
    </w:p>
    <w:p w14:paraId="5AEB2D5A" w14:textId="77777777" w:rsidR="00851E07" w:rsidRPr="00B51CE5" w:rsidRDefault="00851E07" w:rsidP="00851E07">
      <w:pPr>
        <w:jc w:val="both"/>
        <w:rPr>
          <w:rFonts w:asciiTheme="minorHAnsi" w:hAnsiTheme="minorHAnsi" w:cstheme="minorHAnsi"/>
          <w:sz w:val="20"/>
        </w:rPr>
      </w:pPr>
    </w:p>
    <w:p w14:paraId="0B37AB58" w14:textId="77777777" w:rsidR="00851E07" w:rsidRPr="00B51CE5" w:rsidRDefault="00851E07" w:rsidP="00851E07">
      <w:pPr>
        <w:jc w:val="both"/>
        <w:rPr>
          <w:rFonts w:asciiTheme="minorHAnsi" w:hAnsiTheme="minorHAnsi" w:cstheme="minorHAnsi"/>
          <w:b/>
          <w:sz w:val="20"/>
        </w:rPr>
      </w:pPr>
      <w:r w:rsidRPr="00B51CE5">
        <w:rPr>
          <w:rFonts w:asciiTheme="minorHAnsi" w:hAnsiTheme="minorHAnsi" w:cstheme="minorHAnsi"/>
          <w:b/>
          <w:sz w:val="20"/>
        </w:rPr>
        <w:t>Kits and Uniforms</w:t>
      </w:r>
    </w:p>
    <w:p w14:paraId="71B4F3AE" w14:textId="77777777" w:rsidR="00851E07" w:rsidRPr="00B51CE5" w:rsidRDefault="00851E07" w:rsidP="00851E07">
      <w:pPr>
        <w:spacing w:after="200" w:line="276" w:lineRule="auto"/>
        <w:rPr>
          <w:rFonts w:asciiTheme="minorHAnsi" w:hAnsiTheme="minorHAnsi" w:cstheme="minorHAnsi"/>
          <w:sz w:val="20"/>
        </w:rPr>
      </w:pPr>
      <w:r w:rsidRPr="00B51CE5">
        <w:rPr>
          <w:rFonts w:asciiTheme="minorHAnsi" w:hAnsiTheme="minorHAnsi" w:cstheme="minorHAnsi"/>
          <w:sz w:val="20"/>
        </w:rPr>
        <w:t>Basic kit and uniforms will be made available where applicable. In certain areas students will be encouraged to purchase their own kit, which they can take with them when they leave.</w:t>
      </w:r>
    </w:p>
    <w:p w14:paraId="2CB3C947" w14:textId="5A0B333E" w:rsidR="00851E07" w:rsidRPr="00B51CE5" w:rsidRDefault="00757A27" w:rsidP="00712293">
      <w:pPr>
        <w:rPr>
          <w:rFonts w:asciiTheme="minorHAnsi" w:hAnsiTheme="minorHAnsi" w:cstheme="minorHAnsi"/>
          <w:b/>
          <w:sz w:val="20"/>
        </w:rPr>
      </w:pPr>
      <w:r w:rsidRPr="00B51CE5">
        <w:rPr>
          <w:rFonts w:asciiTheme="minorHAnsi" w:hAnsiTheme="minorHAnsi" w:cstheme="minorHAnsi"/>
          <w:b/>
          <w:sz w:val="20"/>
        </w:rPr>
        <w:t>Unemployed status</w:t>
      </w:r>
    </w:p>
    <w:p w14:paraId="523BC541" w14:textId="77777777" w:rsidR="00757A27" w:rsidRPr="00B51CE5" w:rsidRDefault="00757A27" w:rsidP="00712293">
      <w:pPr>
        <w:rPr>
          <w:rFonts w:asciiTheme="minorHAnsi" w:hAnsiTheme="minorHAnsi" w:cstheme="minorHAnsi"/>
          <w:b/>
          <w:sz w:val="20"/>
        </w:rPr>
      </w:pPr>
    </w:p>
    <w:p w14:paraId="3F9C8435" w14:textId="77777777" w:rsidR="00757A27" w:rsidRPr="00B51CE5" w:rsidRDefault="00757A27" w:rsidP="00757A27">
      <w:pPr>
        <w:spacing w:after="200" w:line="276" w:lineRule="auto"/>
        <w:rPr>
          <w:rFonts w:asciiTheme="minorHAnsi" w:hAnsiTheme="minorHAnsi" w:cstheme="minorHAnsi"/>
          <w:sz w:val="20"/>
        </w:rPr>
      </w:pPr>
      <w:r w:rsidRPr="00B51CE5">
        <w:rPr>
          <w:rFonts w:asciiTheme="minorHAnsi" w:hAnsiTheme="minorHAnsi" w:cstheme="minorHAnsi"/>
          <w:sz w:val="20"/>
        </w:rPr>
        <w:t>For funding purposes, we define a Learner as unemployed if one or more of the following apply:</w:t>
      </w:r>
    </w:p>
    <w:p w14:paraId="03B30669" w14:textId="644D54AC" w:rsidR="00757A27" w:rsidRPr="00B51CE5" w:rsidRDefault="00757A27" w:rsidP="00757A27">
      <w:pPr>
        <w:pStyle w:val="ListParagraph"/>
        <w:numPr>
          <w:ilvl w:val="0"/>
          <w:numId w:val="39"/>
        </w:numPr>
        <w:spacing w:after="200" w:line="276" w:lineRule="auto"/>
        <w:rPr>
          <w:rFonts w:asciiTheme="minorHAnsi" w:hAnsiTheme="minorHAnsi" w:cstheme="minorHAnsi"/>
          <w:sz w:val="20"/>
        </w:rPr>
      </w:pPr>
      <w:r w:rsidRPr="00B51CE5">
        <w:rPr>
          <w:rFonts w:asciiTheme="minorHAnsi" w:hAnsiTheme="minorHAnsi" w:cstheme="minorHAnsi"/>
          <w:sz w:val="20"/>
        </w:rPr>
        <w:t>They receive Jobseeker’s Allowance (JSA), including those receiving   National Insurance credits only</w:t>
      </w:r>
    </w:p>
    <w:p w14:paraId="0609A4D1" w14:textId="7D1D3743" w:rsidR="00757A27" w:rsidRPr="00B51CE5" w:rsidRDefault="00757A27" w:rsidP="00757A27">
      <w:pPr>
        <w:pStyle w:val="ListParagraph"/>
        <w:numPr>
          <w:ilvl w:val="0"/>
          <w:numId w:val="39"/>
        </w:numPr>
        <w:spacing w:after="200" w:line="276" w:lineRule="auto"/>
        <w:rPr>
          <w:rFonts w:asciiTheme="minorHAnsi" w:hAnsiTheme="minorHAnsi" w:cstheme="minorHAnsi"/>
          <w:sz w:val="20"/>
        </w:rPr>
      </w:pPr>
      <w:r w:rsidRPr="00B51CE5">
        <w:rPr>
          <w:rFonts w:asciiTheme="minorHAnsi" w:hAnsiTheme="minorHAnsi" w:cstheme="minorHAnsi"/>
          <w:sz w:val="20"/>
        </w:rPr>
        <w:t xml:space="preserve">They receive Employment and Support Allowance (ESA) </w:t>
      </w:r>
    </w:p>
    <w:p w14:paraId="78660559" w14:textId="013F179D" w:rsidR="00503188" w:rsidRPr="00B51CE5" w:rsidRDefault="00757A27" w:rsidP="004D07E6">
      <w:pPr>
        <w:pStyle w:val="ListParagraph"/>
        <w:numPr>
          <w:ilvl w:val="0"/>
          <w:numId w:val="39"/>
        </w:numPr>
        <w:spacing w:after="200" w:line="276" w:lineRule="auto"/>
        <w:rPr>
          <w:rFonts w:asciiTheme="minorHAnsi" w:hAnsiTheme="minorHAnsi" w:cstheme="minorHAnsi"/>
          <w:sz w:val="20"/>
        </w:rPr>
      </w:pPr>
      <w:r w:rsidRPr="00B51CE5">
        <w:rPr>
          <w:rFonts w:asciiTheme="minorHAnsi" w:hAnsiTheme="minorHAnsi" w:cstheme="minorHAnsi"/>
          <w:sz w:val="20"/>
        </w:rPr>
        <w:t xml:space="preserve">They </w:t>
      </w:r>
      <w:r w:rsidR="00500570" w:rsidRPr="00B51CE5">
        <w:rPr>
          <w:rFonts w:asciiTheme="minorHAnsi" w:hAnsiTheme="minorHAnsi" w:cstheme="minorHAnsi"/>
          <w:sz w:val="20"/>
        </w:rPr>
        <w:t>receive Universal Credit, and their take-home pay as recorded on their Universal Credit statement (disregarding Universal Credit payments and other benefits) is less than £</w:t>
      </w:r>
      <w:r w:rsidR="001B70DD">
        <w:rPr>
          <w:rFonts w:asciiTheme="minorHAnsi" w:hAnsiTheme="minorHAnsi" w:cstheme="minorHAnsi"/>
          <w:sz w:val="20"/>
        </w:rPr>
        <w:t>494</w:t>
      </w:r>
      <w:r w:rsidR="00500570" w:rsidRPr="00B51CE5">
        <w:rPr>
          <w:rFonts w:asciiTheme="minorHAnsi" w:hAnsiTheme="minorHAnsi" w:cstheme="minorHAnsi"/>
          <w:sz w:val="20"/>
        </w:rPr>
        <w:t xml:space="preserve"> a month (learner is sole adult in their benefit claim) or £</w:t>
      </w:r>
      <w:r w:rsidR="001B70DD">
        <w:rPr>
          <w:rFonts w:asciiTheme="minorHAnsi" w:hAnsiTheme="minorHAnsi" w:cstheme="minorHAnsi"/>
          <w:sz w:val="20"/>
        </w:rPr>
        <w:t>782</w:t>
      </w:r>
      <w:r w:rsidR="00500570" w:rsidRPr="00B51CE5">
        <w:rPr>
          <w:rFonts w:asciiTheme="minorHAnsi" w:hAnsiTheme="minorHAnsi" w:cstheme="minorHAnsi"/>
          <w:sz w:val="20"/>
        </w:rPr>
        <w:t xml:space="preserve"> a month (learner has a joint benefit claim with their partner)</w:t>
      </w:r>
      <w:r w:rsidR="00503188" w:rsidRPr="00B51CE5">
        <w:rPr>
          <w:rFonts w:asciiTheme="minorHAnsi" w:hAnsiTheme="minorHAnsi" w:cstheme="minorHAnsi"/>
          <w:sz w:val="20"/>
        </w:rPr>
        <w:t xml:space="preserve"> </w:t>
      </w:r>
    </w:p>
    <w:p w14:paraId="67BD758D" w14:textId="3FFA6FCC" w:rsidR="00B51CE5" w:rsidRDefault="00503188" w:rsidP="00712293">
      <w:pPr>
        <w:pStyle w:val="ListParagraph"/>
        <w:numPr>
          <w:ilvl w:val="0"/>
          <w:numId w:val="39"/>
        </w:numPr>
        <w:spacing w:after="200" w:line="276" w:lineRule="auto"/>
        <w:rPr>
          <w:rFonts w:asciiTheme="minorHAnsi" w:hAnsiTheme="minorHAnsi" w:cstheme="minorHAnsi"/>
          <w:sz w:val="20"/>
        </w:rPr>
      </w:pPr>
      <w:r w:rsidRPr="00B51CE5">
        <w:rPr>
          <w:rFonts w:asciiTheme="minorHAnsi" w:hAnsiTheme="minorHAnsi" w:cstheme="minorHAnsi"/>
          <w:sz w:val="20"/>
        </w:rPr>
        <w:t>They are released on temporary licence, studying outside a prison environment, and not funded by the Ministry of Justice</w:t>
      </w:r>
    </w:p>
    <w:p w14:paraId="4D5A192A" w14:textId="39510CDE" w:rsidR="002433EB" w:rsidRPr="002E1CDA" w:rsidRDefault="002433EB" w:rsidP="002433EB">
      <w:pPr>
        <w:pStyle w:val="Default"/>
        <w:jc w:val="both"/>
        <w:rPr>
          <w:rFonts w:asciiTheme="minorHAnsi" w:hAnsiTheme="minorHAnsi" w:cstheme="minorHAnsi"/>
          <w:sz w:val="20"/>
          <w:szCs w:val="20"/>
        </w:rPr>
      </w:pPr>
      <w:r w:rsidRPr="002E1CDA">
        <w:rPr>
          <w:rFonts w:asciiTheme="minorHAnsi" w:hAnsiTheme="minorHAnsi" w:cstheme="minorHAnsi"/>
          <w:sz w:val="20"/>
          <w:szCs w:val="20"/>
        </w:rPr>
        <w:t xml:space="preserve">Low wage flexibility referred to must be eligible for co-funding and earns less than </w:t>
      </w:r>
      <w:r w:rsidR="00783984" w:rsidRPr="00783984">
        <w:rPr>
          <w:rFonts w:asciiTheme="minorHAnsi" w:hAnsiTheme="minorHAnsi" w:cstheme="minorHAnsi"/>
          <w:sz w:val="20"/>
          <w:szCs w:val="20"/>
        </w:rPr>
        <w:t>£31,600.40 annual gross salary</w:t>
      </w:r>
      <w:r w:rsidRPr="002E1CDA">
        <w:rPr>
          <w:rFonts w:asciiTheme="minorHAnsi" w:hAnsiTheme="minorHAnsi" w:cstheme="minorHAnsi"/>
          <w:sz w:val="20"/>
          <w:szCs w:val="20"/>
        </w:rPr>
        <w:t xml:space="preserve">. </w:t>
      </w:r>
    </w:p>
    <w:p w14:paraId="23766684" w14:textId="77777777" w:rsidR="002433EB" w:rsidRDefault="002433EB" w:rsidP="00712293">
      <w:pPr>
        <w:rPr>
          <w:rFonts w:asciiTheme="minorHAnsi" w:hAnsiTheme="minorHAnsi" w:cstheme="minorHAnsi"/>
          <w:b/>
          <w:sz w:val="20"/>
        </w:rPr>
      </w:pPr>
    </w:p>
    <w:p w14:paraId="2683AF33" w14:textId="77777777" w:rsidR="002433EB" w:rsidRDefault="002433EB" w:rsidP="00712293">
      <w:pPr>
        <w:rPr>
          <w:rFonts w:asciiTheme="minorHAnsi" w:hAnsiTheme="minorHAnsi" w:cstheme="minorHAnsi"/>
          <w:b/>
          <w:sz w:val="20"/>
        </w:rPr>
      </w:pPr>
    </w:p>
    <w:p w14:paraId="0048B250" w14:textId="77777777" w:rsidR="002433EB" w:rsidRDefault="002433EB" w:rsidP="00712293">
      <w:pPr>
        <w:rPr>
          <w:rFonts w:asciiTheme="minorHAnsi" w:hAnsiTheme="minorHAnsi" w:cstheme="minorHAnsi"/>
          <w:b/>
          <w:sz w:val="20"/>
        </w:rPr>
      </w:pPr>
    </w:p>
    <w:p w14:paraId="2ABF303A" w14:textId="24E50049" w:rsidR="00712293" w:rsidRPr="00B51CE5" w:rsidRDefault="00712293" w:rsidP="00712293">
      <w:pPr>
        <w:rPr>
          <w:rFonts w:asciiTheme="minorHAnsi" w:hAnsiTheme="minorHAnsi" w:cstheme="minorHAnsi"/>
          <w:b/>
          <w:sz w:val="20"/>
        </w:rPr>
      </w:pPr>
      <w:r w:rsidRPr="00B51CE5">
        <w:rPr>
          <w:rFonts w:asciiTheme="minorHAnsi" w:hAnsiTheme="minorHAnsi" w:cstheme="minorHAnsi"/>
          <w:b/>
          <w:sz w:val="20"/>
        </w:rPr>
        <w:t xml:space="preserve">Adult Education Provision – resident of non-devolved area (funded by ESFA) </w:t>
      </w:r>
    </w:p>
    <w:p w14:paraId="45B8E926" w14:textId="5A4DA2D5" w:rsidR="00BD75E1" w:rsidRDefault="00BD75E1" w:rsidP="00BD75E1">
      <w:pPr>
        <w:jc w:val="both"/>
        <w:rPr>
          <w:rFonts w:asciiTheme="minorHAnsi" w:hAnsiTheme="minorHAnsi" w:cstheme="minorHAnsi"/>
          <w:sz w:val="20"/>
        </w:rPr>
      </w:pPr>
      <w:r w:rsidRPr="00B51CE5">
        <w:rPr>
          <w:rFonts w:asciiTheme="minorHAnsi" w:hAnsiTheme="minorHAnsi" w:cstheme="minorHAnsi"/>
          <w:noProof/>
          <w:sz w:val="20"/>
          <w:lang w:eastAsia="en-GB"/>
        </w:rPr>
        <w:t xml:space="preserve">The following is an extract from the </w:t>
      </w:r>
      <w:r w:rsidRPr="00B51CE5">
        <w:rPr>
          <w:rFonts w:asciiTheme="minorHAnsi" w:hAnsiTheme="minorHAnsi" w:cstheme="minorHAnsi"/>
          <w:sz w:val="20"/>
        </w:rPr>
        <w:t>Adult Education Budget</w:t>
      </w:r>
      <w:r w:rsidR="004238B5" w:rsidRPr="00B51CE5">
        <w:rPr>
          <w:rFonts w:asciiTheme="minorHAnsi" w:hAnsiTheme="minorHAnsi" w:cstheme="minorHAnsi"/>
          <w:sz w:val="20"/>
        </w:rPr>
        <w:t xml:space="preserve"> </w:t>
      </w:r>
      <w:r w:rsidRPr="00B51CE5">
        <w:rPr>
          <w:rFonts w:asciiTheme="minorHAnsi" w:hAnsiTheme="minorHAnsi" w:cstheme="minorHAnsi"/>
          <w:sz w:val="20"/>
        </w:rPr>
        <w:t>performance</w:t>
      </w:r>
      <w:r w:rsidR="004238B5" w:rsidRPr="00B51CE5">
        <w:rPr>
          <w:rFonts w:asciiTheme="minorHAnsi" w:hAnsiTheme="minorHAnsi" w:cstheme="minorHAnsi"/>
          <w:sz w:val="20"/>
        </w:rPr>
        <w:t xml:space="preserve"> </w:t>
      </w:r>
      <w:r w:rsidRPr="00B51CE5">
        <w:rPr>
          <w:rFonts w:asciiTheme="minorHAnsi" w:hAnsiTheme="minorHAnsi" w:cstheme="minorHAnsi"/>
          <w:sz w:val="20"/>
        </w:rPr>
        <w:t>- management rules</w:t>
      </w:r>
      <w:r w:rsidR="004238B5" w:rsidRPr="00B51CE5">
        <w:rPr>
          <w:rFonts w:asciiTheme="minorHAnsi" w:hAnsiTheme="minorHAnsi" w:cstheme="minorHAnsi"/>
          <w:sz w:val="20"/>
        </w:rPr>
        <w:t xml:space="preserve"> funded by the ESFA</w:t>
      </w:r>
      <w:r w:rsidRPr="00B51CE5">
        <w:rPr>
          <w:rFonts w:asciiTheme="minorHAnsi" w:hAnsiTheme="minorHAnsi" w:cstheme="minorHAnsi"/>
          <w:sz w:val="20"/>
        </w:rPr>
        <w:t>:</w:t>
      </w:r>
    </w:p>
    <w:p w14:paraId="0961B83A" w14:textId="27260F51" w:rsidR="00F56135" w:rsidRDefault="00F56135" w:rsidP="00F56135">
      <w:pPr>
        <w:rPr>
          <w:rFonts w:asciiTheme="minorHAnsi" w:hAnsiTheme="minorHAnsi" w:cstheme="minorHAnsi"/>
          <w:b/>
          <w:sz w:val="20"/>
        </w:rPr>
      </w:pPr>
      <w:r w:rsidRPr="00F56135">
        <w:rPr>
          <w:rFonts w:asciiTheme="minorHAnsi" w:hAnsiTheme="minorHAnsi" w:cstheme="minorHAnsi"/>
          <w:b/>
          <w:sz w:val="20"/>
        </w:rPr>
        <w:t>Government contribution table 1: 19 to 23-year-</w:t>
      </w:r>
    </w:p>
    <w:p w14:paraId="52AEA87C" w14:textId="51934C5B" w:rsidR="00EE6F62" w:rsidRPr="007A0336" w:rsidRDefault="00187A39" w:rsidP="007A0336">
      <w:pPr>
        <w:rPr>
          <w:rFonts w:asciiTheme="minorHAnsi" w:hAnsiTheme="minorHAnsi" w:cstheme="minorHAnsi"/>
          <w:b/>
          <w:sz w:val="20"/>
        </w:rPr>
      </w:pPr>
      <w:r>
        <w:rPr>
          <w:noProof/>
          <w:lang w:val="en-US"/>
        </w:rPr>
        <w:drawing>
          <wp:inline distT="0" distB="0" distL="0" distR="0" wp14:anchorId="38449300" wp14:editId="28A93A5C">
            <wp:extent cx="4906904" cy="7820343"/>
            <wp:effectExtent l="0" t="0" r="8255"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9"/>
                    <a:stretch>
                      <a:fillRect/>
                    </a:stretch>
                  </pic:blipFill>
                  <pic:spPr>
                    <a:xfrm>
                      <a:off x="0" y="0"/>
                      <a:ext cx="4922870" cy="7845788"/>
                    </a:xfrm>
                    <a:prstGeom prst="rect">
                      <a:avLst/>
                    </a:prstGeom>
                  </pic:spPr>
                </pic:pic>
              </a:graphicData>
            </a:graphic>
          </wp:inline>
        </w:drawing>
      </w:r>
      <w:r w:rsidR="00EE6F62">
        <w:rPr>
          <w:rFonts w:ascii="Arial" w:hAnsi="Arial" w:cs="Arial"/>
          <w:b/>
          <w:bCs/>
          <w:sz w:val="22"/>
          <w:szCs w:val="22"/>
        </w:rPr>
        <w:br w:type="page"/>
      </w:r>
    </w:p>
    <w:p w14:paraId="2F7A554B" w14:textId="4F942057" w:rsidR="0027279D" w:rsidRDefault="00E63D14" w:rsidP="00BD75E1">
      <w:pPr>
        <w:pStyle w:val="Default"/>
        <w:jc w:val="both"/>
        <w:rPr>
          <w:rFonts w:asciiTheme="minorHAnsi" w:hAnsiTheme="minorHAnsi" w:cstheme="minorHAnsi"/>
          <w:b/>
          <w:bCs/>
          <w:sz w:val="22"/>
          <w:szCs w:val="22"/>
        </w:rPr>
      </w:pPr>
      <w:r w:rsidRPr="002E1CDA">
        <w:rPr>
          <w:rFonts w:asciiTheme="minorHAnsi" w:hAnsiTheme="minorHAnsi" w:cstheme="minorHAnsi"/>
          <w:b/>
          <w:bCs/>
          <w:sz w:val="22"/>
          <w:szCs w:val="22"/>
        </w:rPr>
        <w:t>Government contribution table 2: 24+</w:t>
      </w:r>
    </w:p>
    <w:p w14:paraId="50D77C11" w14:textId="3643EBFE" w:rsidR="00F55C23" w:rsidRPr="002E1CDA" w:rsidRDefault="00F55C23" w:rsidP="00BD75E1">
      <w:pPr>
        <w:pStyle w:val="Default"/>
        <w:jc w:val="both"/>
        <w:rPr>
          <w:rFonts w:asciiTheme="minorHAnsi" w:hAnsiTheme="minorHAnsi" w:cstheme="minorHAnsi"/>
          <w:b/>
          <w:bCs/>
          <w:sz w:val="22"/>
          <w:szCs w:val="22"/>
        </w:rPr>
      </w:pPr>
      <w:r>
        <w:rPr>
          <w:noProof/>
          <w:lang w:val="en-US"/>
        </w:rPr>
        <w:drawing>
          <wp:inline distT="0" distB="0" distL="0" distR="0" wp14:anchorId="66C14C55" wp14:editId="209A49A6">
            <wp:extent cx="4847590" cy="886333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0"/>
                    <a:stretch>
                      <a:fillRect/>
                    </a:stretch>
                  </pic:blipFill>
                  <pic:spPr>
                    <a:xfrm>
                      <a:off x="0" y="0"/>
                      <a:ext cx="4847590" cy="8863330"/>
                    </a:xfrm>
                    <a:prstGeom prst="rect">
                      <a:avLst/>
                    </a:prstGeom>
                  </pic:spPr>
                </pic:pic>
              </a:graphicData>
            </a:graphic>
          </wp:inline>
        </w:drawing>
      </w:r>
    </w:p>
    <w:p w14:paraId="2477040A" w14:textId="5BF3B52D" w:rsidR="00BD75E1" w:rsidRPr="002E1CDA" w:rsidRDefault="00BD75E1" w:rsidP="00BD75E1">
      <w:pPr>
        <w:pStyle w:val="Default"/>
        <w:jc w:val="both"/>
        <w:rPr>
          <w:rFonts w:asciiTheme="minorHAnsi" w:hAnsiTheme="minorHAnsi" w:cstheme="minorHAnsi"/>
          <w:sz w:val="20"/>
          <w:szCs w:val="20"/>
        </w:rPr>
      </w:pPr>
      <w:r w:rsidRPr="002E1CDA">
        <w:rPr>
          <w:rFonts w:asciiTheme="minorHAnsi" w:hAnsiTheme="minorHAnsi" w:cstheme="minorHAnsi"/>
          <w:sz w:val="20"/>
          <w:szCs w:val="20"/>
        </w:rPr>
        <w:t>A full set of funding rules in relation to 19+ learners can be found in the ESFA funding guidance for Adult Education Budget: draft funding and performance- management rules here:</w:t>
      </w:r>
    </w:p>
    <w:p w14:paraId="04E2BF3D" w14:textId="5B5AED3C" w:rsidR="00BD75E1" w:rsidRPr="002E1CDA" w:rsidRDefault="00BD75E1" w:rsidP="00BD75E1">
      <w:pPr>
        <w:pStyle w:val="Default"/>
        <w:jc w:val="both"/>
        <w:rPr>
          <w:rFonts w:asciiTheme="minorHAnsi" w:hAnsiTheme="minorHAnsi" w:cstheme="minorHAnsi"/>
          <w:sz w:val="20"/>
          <w:szCs w:val="20"/>
        </w:rPr>
      </w:pPr>
    </w:p>
    <w:p w14:paraId="49D94C48" w14:textId="38D7B186" w:rsidR="0027279D" w:rsidRDefault="0044047B" w:rsidP="00D47D9D">
      <w:pPr>
        <w:pStyle w:val="Default"/>
        <w:jc w:val="both"/>
        <w:rPr>
          <w:rFonts w:asciiTheme="minorHAnsi" w:hAnsiTheme="minorHAnsi" w:cstheme="minorHAnsi"/>
          <w:sz w:val="20"/>
          <w:szCs w:val="20"/>
        </w:rPr>
      </w:pPr>
      <w:hyperlink r:id="rId21" w:history="1">
        <w:r w:rsidR="00D47D9D" w:rsidRPr="00A648FF">
          <w:rPr>
            <w:rStyle w:val="Hyperlink"/>
            <w:rFonts w:asciiTheme="minorHAnsi" w:hAnsiTheme="minorHAnsi" w:cstheme="minorHAnsi"/>
            <w:sz w:val="20"/>
            <w:szCs w:val="20"/>
          </w:rPr>
          <w:t>https://www.gov.uk/government/publications/adult-education-budget-aeb-funding-rules-2023-to-2024/esfa-funded-adult-education-budget-funding-rules-2023-to-2024</w:t>
        </w:r>
      </w:hyperlink>
    </w:p>
    <w:p w14:paraId="3EFAB0A7" w14:textId="77777777" w:rsidR="00D47D9D" w:rsidRPr="00D47D9D" w:rsidRDefault="00D47D9D" w:rsidP="00D47D9D">
      <w:pPr>
        <w:pStyle w:val="Default"/>
        <w:jc w:val="both"/>
        <w:rPr>
          <w:rFonts w:asciiTheme="minorHAnsi" w:hAnsiTheme="minorHAnsi" w:cstheme="minorHAnsi"/>
          <w:sz w:val="20"/>
          <w:szCs w:val="20"/>
        </w:rPr>
      </w:pPr>
    </w:p>
    <w:p w14:paraId="33394070" w14:textId="138878D4" w:rsidR="00BD75E1" w:rsidRPr="002E1CDA" w:rsidRDefault="00BD75E1" w:rsidP="00BD75E1">
      <w:pPr>
        <w:pStyle w:val="Default"/>
        <w:jc w:val="both"/>
        <w:rPr>
          <w:rFonts w:asciiTheme="minorHAnsi" w:hAnsiTheme="minorHAnsi" w:cstheme="minorHAnsi"/>
          <w:sz w:val="20"/>
          <w:szCs w:val="20"/>
        </w:rPr>
      </w:pPr>
      <w:r w:rsidRPr="002E1CDA">
        <w:rPr>
          <w:rFonts w:asciiTheme="minorHAnsi" w:hAnsiTheme="minorHAnsi" w:cstheme="minorHAnsi"/>
          <w:sz w:val="20"/>
          <w:szCs w:val="20"/>
        </w:rPr>
        <w:t xml:space="preserve">Low wage flexibility referred to </w:t>
      </w:r>
      <w:r w:rsidR="001F4B2F" w:rsidRPr="002E1CDA">
        <w:rPr>
          <w:rFonts w:asciiTheme="minorHAnsi" w:hAnsiTheme="minorHAnsi" w:cstheme="minorHAnsi"/>
          <w:sz w:val="20"/>
          <w:szCs w:val="20"/>
        </w:rPr>
        <w:t>must be eligible for co-funding and earns</w:t>
      </w:r>
      <w:r w:rsidRPr="002E1CDA">
        <w:rPr>
          <w:rFonts w:asciiTheme="minorHAnsi" w:hAnsiTheme="minorHAnsi" w:cstheme="minorHAnsi"/>
          <w:sz w:val="20"/>
          <w:szCs w:val="20"/>
        </w:rPr>
        <w:t xml:space="preserve"> less than £</w:t>
      </w:r>
      <w:r w:rsidR="005E79F6" w:rsidRPr="005E79F6">
        <w:rPr>
          <w:rFonts w:asciiTheme="minorHAnsi" w:hAnsiTheme="minorHAnsi" w:cstheme="minorHAnsi"/>
          <w:sz w:val="20"/>
          <w:szCs w:val="20"/>
        </w:rPr>
        <w:t>20,319</w:t>
      </w:r>
      <w:r w:rsidR="00F01686" w:rsidRPr="002E1CDA">
        <w:rPr>
          <w:rFonts w:asciiTheme="minorHAnsi" w:hAnsiTheme="minorHAnsi" w:cstheme="minorHAnsi"/>
          <w:sz w:val="20"/>
          <w:szCs w:val="20"/>
        </w:rPr>
        <w:t xml:space="preserve"> </w:t>
      </w:r>
      <w:r w:rsidRPr="002E1CDA">
        <w:rPr>
          <w:rFonts w:asciiTheme="minorHAnsi" w:hAnsiTheme="minorHAnsi" w:cstheme="minorHAnsi"/>
          <w:sz w:val="20"/>
          <w:szCs w:val="20"/>
        </w:rPr>
        <w:t>annual gross salary</w:t>
      </w:r>
      <w:r w:rsidR="001F4B2F" w:rsidRPr="002E1CDA">
        <w:rPr>
          <w:rFonts w:asciiTheme="minorHAnsi" w:hAnsiTheme="minorHAnsi" w:cstheme="minorHAnsi"/>
          <w:sz w:val="20"/>
          <w:szCs w:val="20"/>
        </w:rPr>
        <w:t>.</w:t>
      </w:r>
      <w:r w:rsidRPr="002E1CDA">
        <w:rPr>
          <w:rFonts w:asciiTheme="minorHAnsi" w:hAnsiTheme="minorHAnsi" w:cstheme="minorHAnsi"/>
          <w:sz w:val="20"/>
          <w:szCs w:val="20"/>
        </w:rPr>
        <w:t xml:space="preserve"> </w:t>
      </w:r>
    </w:p>
    <w:p w14:paraId="56B4C3BA" w14:textId="77777777" w:rsidR="009C39B5" w:rsidRDefault="009C39B5" w:rsidP="00BD75E1">
      <w:pPr>
        <w:jc w:val="both"/>
        <w:rPr>
          <w:rFonts w:asciiTheme="minorHAnsi" w:hAnsiTheme="minorHAnsi" w:cstheme="minorHAnsi"/>
          <w:b/>
          <w:sz w:val="20"/>
        </w:rPr>
      </w:pPr>
    </w:p>
    <w:p w14:paraId="1797218B" w14:textId="239643D3" w:rsidR="00BD75E1" w:rsidRPr="002E1CDA" w:rsidRDefault="00BD75E1" w:rsidP="00BD75E1">
      <w:pPr>
        <w:jc w:val="both"/>
        <w:rPr>
          <w:rFonts w:asciiTheme="minorHAnsi" w:hAnsiTheme="minorHAnsi" w:cstheme="minorHAnsi"/>
          <w:b/>
          <w:sz w:val="20"/>
        </w:rPr>
      </w:pPr>
      <w:r w:rsidRPr="002E1CDA">
        <w:rPr>
          <w:rFonts w:asciiTheme="minorHAnsi" w:hAnsiTheme="minorHAnsi" w:cstheme="minorHAnsi"/>
          <w:b/>
          <w:sz w:val="20"/>
        </w:rPr>
        <w:t>Exam fees</w:t>
      </w:r>
    </w:p>
    <w:p w14:paraId="1BEE9F80" w14:textId="77777777" w:rsidR="00BD75E1" w:rsidRPr="002E1CDA" w:rsidRDefault="00BD75E1" w:rsidP="00BD75E1">
      <w:pPr>
        <w:jc w:val="both"/>
        <w:rPr>
          <w:rFonts w:asciiTheme="minorHAnsi" w:hAnsiTheme="minorHAnsi" w:cstheme="minorHAnsi"/>
          <w:sz w:val="20"/>
        </w:rPr>
      </w:pPr>
      <w:r w:rsidRPr="002E1CDA">
        <w:rPr>
          <w:rFonts w:asciiTheme="minorHAnsi" w:hAnsiTheme="minorHAnsi" w:cstheme="minorHAnsi"/>
          <w:sz w:val="20"/>
        </w:rPr>
        <w:t>No exam fee to be charged as tuition fee is set at the maximum loan/weighted fee available. Fees may be charged for re-sits and/or retakes.</w:t>
      </w:r>
    </w:p>
    <w:p w14:paraId="2C69A859" w14:textId="77777777" w:rsidR="00BD75E1" w:rsidRPr="002E1CDA" w:rsidRDefault="00BD75E1" w:rsidP="00BD75E1">
      <w:pPr>
        <w:jc w:val="both"/>
        <w:rPr>
          <w:rFonts w:asciiTheme="minorHAnsi" w:hAnsiTheme="minorHAnsi" w:cstheme="minorHAnsi"/>
          <w:sz w:val="20"/>
        </w:rPr>
      </w:pPr>
    </w:p>
    <w:p w14:paraId="6C6C36AC" w14:textId="77777777" w:rsidR="00BD75E1" w:rsidRPr="002E1CDA" w:rsidRDefault="00BD75E1" w:rsidP="00BD75E1">
      <w:pPr>
        <w:jc w:val="both"/>
        <w:rPr>
          <w:rFonts w:asciiTheme="minorHAnsi" w:hAnsiTheme="minorHAnsi" w:cstheme="minorHAnsi"/>
          <w:b/>
          <w:sz w:val="20"/>
        </w:rPr>
      </w:pPr>
      <w:r w:rsidRPr="002E1CDA">
        <w:rPr>
          <w:rFonts w:asciiTheme="minorHAnsi" w:hAnsiTheme="minorHAnsi" w:cstheme="minorHAnsi"/>
          <w:b/>
          <w:sz w:val="20"/>
        </w:rPr>
        <w:t>Kits and Uniforms</w:t>
      </w:r>
    </w:p>
    <w:p w14:paraId="571A11B3" w14:textId="77777777" w:rsidR="00E167DE" w:rsidRPr="002E1CDA" w:rsidRDefault="00BD75E1" w:rsidP="00E167DE">
      <w:pPr>
        <w:spacing w:after="200" w:line="276" w:lineRule="auto"/>
        <w:rPr>
          <w:rFonts w:asciiTheme="minorHAnsi" w:hAnsiTheme="minorHAnsi" w:cstheme="minorHAnsi"/>
          <w:sz w:val="20"/>
        </w:rPr>
      </w:pPr>
      <w:r w:rsidRPr="002E1CDA">
        <w:rPr>
          <w:rFonts w:asciiTheme="minorHAnsi" w:hAnsiTheme="minorHAnsi" w:cstheme="minorHAnsi"/>
          <w:sz w:val="20"/>
        </w:rPr>
        <w:t>Basic kit and uniforms will be made available where applicable. In certain areas students will be encouraged to purchase their own kit, which they can take with them when they leave.</w:t>
      </w:r>
    </w:p>
    <w:p w14:paraId="25D7E326" w14:textId="77777777" w:rsidR="00757A27" w:rsidRPr="002E1CDA" w:rsidRDefault="00757A27" w:rsidP="00757A27">
      <w:pPr>
        <w:rPr>
          <w:rFonts w:asciiTheme="minorHAnsi" w:hAnsiTheme="minorHAnsi" w:cstheme="minorHAnsi"/>
          <w:b/>
          <w:sz w:val="20"/>
        </w:rPr>
      </w:pPr>
      <w:r w:rsidRPr="002E1CDA">
        <w:rPr>
          <w:rFonts w:asciiTheme="minorHAnsi" w:hAnsiTheme="minorHAnsi" w:cstheme="minorHAnsi"/>
          <w:b/>
          <w:sz w:val="20"/>
        </w:rPr>
        <w:t>Unemployed status</w:t>
      </w:r>
    </w:p>
    <w:p w14:paraId="4AE1474F" w14:textId="77777777" w:rsidR="00757A27" w:rsidRPr="002E1CDA" w:rsidRDefault="00757A27" w:rsidP="00757A27">
      <w:pPr>
        <w:autoSpaceDE w:val="0"/>
        <w:autoSpaceDN w:val="0"/>
        <w:adjustRightInd w:val="0"/>
        <w:rPr>
          <w:rFonts w:asciiTheme="minorHAnsi" w:eastAsiaTheme="minorHAnsi" w:hAnsiTheme="minorHAnsi" w:cstheme="minorHAnsi"/>
          <w:color w:val="000000"/>
          <w:sz w:val="20"/>
        </w:rPr>
      </w:pPr>
    </w:p>
    <w:p w14:paraId="3F798115" w14:textId="7D8CC1EE" w:rsidR="00757A27" w:rsidRPr="002E1CDA" w:rsidRDefault="00757A27" w:rsidP="00757A27">
      <w:pPr>
        <w:pStyle w:val="Default"/>
        <w:jc w:val="both"/>
        <w:rPr>
          <w:rFonts w:asciiTheme="minorHAnsi" w:hAnsiTheme="minorHAnsi" w:cstheme="minorHAnsi"/>
          <w:color w:val="auto"/>
          <w:sz w:val="20"/>
          <w:szCs w:val="20"/>
        </w:rPr>
      </w:pPr>
      <w:r w:rsidRPr="002E1CDA">
        <w:rPr>
          <w:rFonts w:asciiTheme="minorHAnsi" w:hAnsiTheme="minorHAnsi" w:cstheme="minorHAnsi"/>
          <w:sz w:val="20"/>
          <w:szCs w:val="20"/>
        </w:rPr>
        <w:t xml:space="preserve">For </w:t>
      </w:r>
      <w:r w:rsidRPr="002E1CDA">
        <w:rPr>
          <w:rFonts w:asciiTheme="minorHAnsi" w:hAnsiTheme="minorHAnsi" w:cstheme="minorHAnsi"/>
          <w:color w:val="auto"/>
          <w:sz w:val="20"/>
          <w:szCs w:val="20"/>
        </w:rPr>
        <w:t xml:space="preserve">funding purposes, ESFA define a learner as unemployed if one or more of the following apply, they: </w:t>
      </w:r>
    </w:p>
    <w:p w14:paraId="0EFC6FB5" w14:textId="77777777" w:rsidR="00757A27" w:rsidRPr="002E1CDA" w:rsidRDefault="00757A27" w:rsidP="00757A27">
      <w:pPr>
        <w:pStyle w:val="ListParagraph"/>
        <w:autoSpaceDE w:val="0"/>
        <w:autoSpaceDN w:val="0"/>
        <w:adjustRightInd w:val="0"/>
        <w:rPr>
          <w:rFonts w:asciiTheme="minorHAnsi" w:eastAsiaTheme="minorHAnsi" w:hAnsiTheme="minorHAnsi" w:cstheme="minorHAnsi"/>
          <w:sz w:val="20"/>
        </w:rPr>
      </w:pPr>
    </w:p>
    <w:p w14:paraId="5F5921B5" w14:textId="77777777" w:rsidR="002902D4" w:rsidRDefault="00757A27" w:rsidP="00417C9F">
      <w:pPr>
        <w:pStyle w:val="ListParagraph"/>
        <w:numPr>
          <w:ilvl w:val="0"/>
          <w:numId w:val="39"/>
        </w:numPr>
        <w:autoSpaceDE w:val="0"/>
        <w:autoSpaceDN w:val="0"/>
        <w:adjustRightInd w:val="0"/>
        <w:spacing w:after="316"/>
        <w:rPr>
          <w:rFonts w:asciiTheme="minorHAnsi" w:eastAsiaTheme="minorHAnsi" w:hAnsiTheme="minorHAnsi" w:cstheme="minorHAnsi"/>
          <w:sz w:val="20"/>
        </w:rPr>
      </w:pPr>
      <w:r w:rsidRPr="002902D4">
        <w:rPr>
          <w:rFonts w:asciiTheme="minorHAnsi" w:eastAsiaTheme="minorHAnsi" w:hAnsiTheme="minorHAnsi" w:cstheme="minorHAnsi"/>
          <w:sz w:val="20"/>
        </w:rPr>
        <w:t xml:space="preserve">receive Jobseeker’s Allowance (JSA), including those receiving National Insurance credits only </w:t>
      </w:r>
    </w:p>
    <w:p w14:paraId="5BC4435F" w14:textId="4F96982F" w:rsidR="006552A0" w:rsidRPr="002902D4" w:rsidRDefault="00757A27" w:rsidP="00417C9F">
      <w:pPr>
        <w:pStyle w:val="ListParagraph"/>
        <w:numPr>
          <w:ilvl w:val="0"/>
          <w:numId w:val="39"/>
        </w:numPr>
        <w:autoSpaceDE w:val="0"/>
        <w:autoSpaceDN w:val="0"/>
        <w:adjustRightInd w:val="0"/>
        <w:spacing w:after="316"/>
        <w:rPr>
          <w:rFonts w:asciiTheme="minorHAnsi" w:eastAsiaTheme="minorHAnsi" w:hAnsiTheme="minorHAnsi" w:cstheme="minorHAnsi"/>
          <w:sz w:val="20"/>
        </w:rPr>
      </w:pPr>
      <w:r w:rsidRPr="002902D4">
        <w:rPr>
          <w:rFonts w:asciiTheme="minorHAnsi" w:eastAsiaTheme="minorHAnsi" w:hAnsiTheme="minorHAnsi" w:cstheme="minorHAnsi"/>
          <w:sz w:val="20"/>
        </w:rPr>
        <w:t xml:space="preserve">receive Employment and Support Allowance (ESA) </w:t>
      </w:r>
    </w:p>
    <w:p w14:paraId="1353D924" w14:textId="77777777" w:rsidR="002902D4" w:rsidRPr="002902D4" w:rsidRDefault="002902D4" w:rsidP="002902D4">
      <w:pPr>
        <w:pStyle w:val="ListParagraph"/>
        <w:numPr>
          <w:ilvl w:val="0"/>
          <w:numId w:val="39"/>
        </w:numPr>
        <w:autoSpaceDE w:val="0"/>
        <w:autoSpaceDN w:val="0"/>
        <w:adjustRightInd w:val="0"/>
        <w:spacing w:after="316"/>
        <w:rPr>
          <w:rFonts w:asciiTheme="minorHAnsi" w:eastAsiaTheme="minorHAnsi" w:hAnsiTheme="minorHAnsi" w:cstheme="minorHAnsi"/>
          <w:sz w:val="20"/>
        </w:rPr>
      </w:pPr>
      <w:r w:rsidRPr="002902D4">
        <w:rPr>
          <w:rFonts w:asciiTheme="minorHAnsi" w:eastAsiaTheme="minorHAnsi" w:hAnsiTheme="minorHAnsi" w:cstheme="minorHAnsi"/>
          <w:sz w:val="20"/>
        </w:rPr>
        <w:t>receive Universal Credit (UC), and their take-home pay as recorded on their UC statement (disregarding UC payments and other benefits) is less than £617 a month (learner is sole adult in their benefit claim) or £988 a month (learner has a joint benefit claim with their partner)</w:t>
      </w:r>
    </w:p>
    <w:p w14:paraId="5B1B3806" w14:textId="34E6B5BD" w:rsidR="00757A27" w:rsidRPr="00B00F34" w:rsidRDefault="00757A27" w:rsidP="004D3637">
      <w:pPr>
        <w:pStyle w:val="ListParagraph"/>
        <w:numPr>
          <w:ilvl w:val="0"/>
          <w:numId w:val="39"/>
        </w:numPr>
        <w:autoSpaceDE w:val="0"/>
        <w:autoSpaceDN w:val="0"/>
        <w:adjustRightInd w:val="0"/>
        <w:spacing w:after="316"/>
        <w:rPr>
          <w:rFonts w:asciiTheme="minorHAnsi" w:eastAsiaTheme="minorHAnsi" w:hAnsiTheme="minorHAnsi" w:cstheme="minorHAnsi"/>
          <w:sz w:val="20"/>
        </w:rPr>
      </w:pPr>
      <w:r w:rsidRPr="00B00F34">
        <w:rPr>
          <w:rFonts w:asciiTheme="minorHAnsi" w:eastAsiaTheme="minorHAnsi" w:hAnsiTheme="minorHAnsi" w:cstheme="minorHAnsi"/>
          <w:sz w:val="20"/>
        </w:rPr>
        <w:t xml:space="preserve">are released on temporary licence, studying outside a prison environment, and not funded by the Ministry of Justice </w:t>
      </w:r>
    </w:p>
    <w:p w14:paraId="03A9FAC3" w14:textId="3AA4484A" w:rsidR="00712293" w:rsidRPr="002E1CDA" w:rsidRDefault="00712293" w:rsidP="00E167DE">
      <w:pPr>
        <w:spacing w:after="200" w:line="276" w:lineRule="auto"/>
        <w:rPr>
          <w:rFonts w:asciiTheme="minorHAnsi" w:hAnsiTheme="minorHAnsi" w:cstheme="minorHAnsi"/>
          <w:b/>
          <w:sz w:val="20"/>
        </w:rPr>
      </w:pPr>
      <w:r w:rsidRPr="002E1CDA">
        <w:rPr>
          <w:rFonts w:asciiTheme="minorHAnsi" w:hAnsiTheme="minorHAnsi" w:cstheme="minorHAnsi"/>
          <w:b/>
          <w:sz w:val="20"/>
        </w:rPr>
        <w:t>Adult Education Provision –</w:t>
      </w:r>
      <w:r w:rsidR="00BC7EAA" w:rsidRPr="002E1CDA">
        <w:rPr>
          <w:rFonts w:asciiTheme="minorHAnsi" w:hAnsiTheme="minorHAnsi" w:cstheme="minorHAnsi"/>
          <w:b/>
          <w:sz w:val="20"/>
        </w:rPr>
        <w:t xml:space="preserve"> </w:t>
      </w:r>
      <w:r w:rsidRPr="002E1CDA">
        <w:rPr>
          <w:rFonts w:asciiTheme="minorHAnsi" w:hAnsiTheme="minorHAnsi" w:cstheme="minorHAnsi"/>
          <w:b/>
          <w:sz w:val="20"/>
        </w:rPr>
        <w:t>resident of another devolved area</w:t>
      </w:r>
    </w:p>
    <w:p w14:paraId="38B3BECF" w14:textId="77777777" w:rsidR="002C7158" w:rsidRPr="002E1CDA" w:rsidRDefault="00F74E21" w:rsidP="00F74E21">
      <w:pPr>
        <w:jc w:val="both"/>
        <w:rPr>
          <w:rFonts w:asciiTheme="minorHAnsi" w:hAnsiTheme="minorHAnsi" w:cstheme="minorHAnsi"/>
          <w:sz w:val="20"/>
        </w:rPr>
      </w:pPr>
      <w:r w:rsidRPr="002E1CDA">
        <w:rPr>
          <w:rFonts w:asciiTheme="minorHAnsi" w:hAnsiTheme="minorHAnsi" w:cstheme="minorHAnsi"/>
          <w:sz w:val="20"/>
        </w:rPr>
        <w:t>The College does not have a funding allocation for any other devolved area and therefore any adult learner from a devolved area would be unfunded and subject to a tuition fee.</w:t>
      </w:r>
      <w:r w:rsidR="001054B0" w:rsidRPr="002E1CDA">
        <w:rPr>
          <w:rFonts w:asciiTheme="minorHAnsi" w:hAnsiTheme="minorHAnsi" w:cstheme="minorHAnsi"/>
          <w:sz w:val="20"/>
        </w:rPr>
        <w:t xml:space="preserve">  </w:t>
      </w:r>
    </w:p>
    <w:p w14:paraId="786477F5" w14:textId="77777777" w:rsidR="002C7158" w:rsidRPr="002E1CDA" w:rsidRDefault="002C7158" w:rsidP="00F74E21">
      <w:pPr>
        <w:jc w:val="both"/>
        <w:rPr>
          <w:rFonts w:asciiTheme="minorHAnsi" w:hAnsiTheme="minorHAnsi" w:cstheme="minorHAnsi"/>
          <w:sz w:val="20"/>
        </w:rPr>
      </w:pPr>
    </w:p>
    <w:p w14:paraId="5548B4C2" w14:textId="4ABAA38A" w:rsidR="00F74E21" w:rsidRPr="002E1CDA" w:rsidRDefault="001054B0" w:rsidP="00F74E21">
      <w:pPr>
        <w:jc w:val="both"/>
        <w:rPr>
          <w:rFonts w:asciiTheme="minorHAnsi" w:hAnsiTheme="minorHAnsi" w:cstheme="minorHAnsi"/>
          <w:sz w:val="20"/>
        </w:rPr>
      </w:pPr>
      <w:r w:rsidRPr="002E1CDA">
        <w:rPr>
          <w:rFonts w:asciiTheme="minorHAnsi" w:hAnsiTheme="minorHAnsi" w:cstheme="minorHAnsi"/>
          <w:sz w:val="20"/>
        </w:rPr>
        <w:t>The LCRCA has a</w:t>
      </w:r>
      <w:r w:rsidR="006D53A0" w:rsidRPr="002E1CDA">
        <w:rPr>
          <w:rFonts w:asciiTheme="minorHAnsi" w:hAnsiTheme="minorHAnsi" w:cstheme="minorHAnsi"/>
          <w:sz w:val="20"/>
        </w:rPr>
        <w:t>n arrangement for</w:t>
      </w:r>
      <w:r w:rsidR="0042549D" w:rsidRPr="002E1CDA">
        <w:rPr>
          <w:rFonts w:asciiTheme="minorHAnsi" w:hAnsiTheme="minorHAnsi" w:cstheme="minorHAnsi"/>
          <w:sz w:val="20"/>
        </w:rPr>
        <w:t xml:space="preserve"> AEB </w:t>
      </w:r>
      <w:r w:rsidR="00F74E21" w:rsidRPr="002E1CDA">
        <w:rPr>
          <w:rFonts w:asciiTheme="minorHAnsi" w:hAnsiTheme="minorHAnsi" w:cstheme="minorHAnsi"/>
          <w:sz w:val="20"/>
        </w:rPr>
        <w:t xml:space="preserve">Cross Border Learners </w:t>
      </w:r>
      <w:r w:rsidR="006D53A0" w:rsidRPr="002E1CDA">
        <w:rPr>
          <w:rFonts w:asciiTheme="minorHAnsi" w:hAnsiTheme="minorHAnsi" w:cstheme="minorHAnsi"/>
          <w:sz w:val="20"/>
        </w:rPr>
        <w:t xml:space="preserve">with Greater Manchester Combined Authority however, this </w:t>
      </w:r>
      <w:r w:rsidR="002C7158" w:rsidRPr="002E1CDA">
        <w:rPr>
          <w:rFonts w:asciiTheme="minorHAnsi" w:hAnsiTheme="minorHAnsi" w:cstheme="minorHAnsi"/>
          <w:sz w:val="20"/>
        </w:rPr>
        <w:t>will be included in the main AEB allocation</w:t>
      </w:r>
      <w:r w:rsidR="00F74E21" w:rsidRPr="002E1CDA">
        <w:rPr>
          <w:rFonts w:asciiTheme="minorHAnsi" w:hAnsiTheme="minorHAnsi" w:cstheme="minorHAnsi"/>
          <w:sz w:val="20"/>
        </w:rPr>
        <w:t xml:space="preserve">.  </w:t>
      </w:r>
      <w:r w:rsidR="0064244A" w:rsidRPr="002E1CDA">
        <w:rPr>
          <w:rFonts w:asciiTheme="minorHAnsi" w:hAnsiTheme="minorHAnsi" w:cstheme="minorHAnsi"/>
          <w:sz w:val="20"/>
        </w:rPr>
        <w:t xml:space="preserve">This reciprocal arrangement does not apply to </w:t>
      </w:r>
      <w:r w:rsidR="0049569C" w:rsidRPr="002E1CDA">
        <w:rPr>
          <w:rFonts w:asciiTheme="minorHAnsi" w:hAnsiTheme="minorHAnsi" w:cstheme="minorHAnsi"/>
          <w:sz w:val="20"/>
        </w:rPr>
        <w:t xml:space="preserve">the National Skills Fund </w:t>
      </w:r>
      <w:r w:rsidR="006B1FC9" w:rsidRPr="002E1CDA">
        <w:rPr>
          <w:rFonts w:asciiTheme="minorHAnsi" w:hAnsiTheme="minorHAnsi" w:cstheme="minorHAnsi"/>
          <w:sz w:val="20"/>
        </w:rPr>
        <w:t xml:space="preserve">Level 3 </w:t>
      </w:r>
      <w:r w:rsidR="0049569C" w:rsidRPr="002E1CDA">
        <w:rPr>
          <w:rFonts w:asciiTheme="minorHAnsi" w:hAnsiTheme="minorHAnsi" w:cstheme="minorHAnsi"/>
          <w:sz w:val="20"/>
        </w:rPr>
        <w:t>Adult offer</w:t>
      </w:r>
      <w:r w:rsidR="00186393" w:rsidRPr="002E1CDA">
        <w:rPr>
          <w:rFonts w:asciiTheme="minorHAnsi" w:hAnsiTheme="minorHAnsi" w:cstheme="minorHAnsi"/>
          <w:sz w:val="20"/>
        </w:rPr>
        <w:t>.</w:t>
      </w:r>
    </w:p>
    <w:p w14:paraId="0624DD47" w14:textId="77777777" w:rsidR="00F74E21" w:rsidRPr="002E1CDA" w:rsidRDefault="00F74E21" w:rsidP="00F74E21">
      <w:pPr>
        <w:jc w:val="both"/>
        <w:rPr>
          <w:rFonts w:asciiTheme="minorHAnsi" w:hAnsiTheme="minorHAnsi" w:cstheme="minorHAnsi"/>
          <w:sz w:val="20"/>
        </w:rPr>
      </w:pPr>
    </w:p>
    <w:p w14:paraId="6F5556D4" w14:textId="77777777" w:rsidR="00603252" w:rsidRDefault="00603252">
      <w:pPr>
        <w:spacing w:after="200" w:line="276" w:lineRule="auto"/>
        <w:rPr>
          <w:rFonts w:asciiTheme="minorHAnsi" w:hAnsiTheme="minorHAnsi" w:cstheme="minorHAnsi"/>
          <w:b/>
          <w:sz w:val="20"/>
          <w:lang w:val="en-US"/>
        </w:rPr>
      </w:pPr>
      <w:r>
        <w:rPr>
          <w:rFonts w:asciiTheme="minorHAnsi" w:hAnsiTheme="minorHAnsi" w:cstheme="minorHAnsi"/>
          <w:b/>
          <w:sz w:val="20"/>
          <w:lang w:val="en-US"/>
        </w:rPr>
        <w:br w:type="page"/>
      </w:r>
    </w:p>
    <w:p w14:paraId="22DB4436" w14:textId="27F14E4B" w:rsidR="00227524" w:rsidRPr="002E1CDA" w:rsidRDefault="00227524" w:rsidP="00227524">
      <w:pPr>
        <w:spacing w:after="200" w:line="276" w:lineRule="auto"/>
        <w:rPr>
          <w:rFonts w:asciiTheme="minorHAnsi" w:hAnsiTheme="minorHAnsi" w:cstheme="minorHAnsi"/>
          <w:b/>
          <w:sz w:val="20"/>
          <w:lang w:val="en-US"/>
        </w:rPr>
      </w:pPr>
      <w:r w:rsidRPr="002E1CDA">
        <w:rPr>
          <w:rFonts w:asciiTheme="minorHAnsi" w:hAnsiTheme="minorHAnsi" w:cstheme="minorHAnsi"/>
          <w:b/>
          <w:sz w:val="20"/>
          <w:lang w:val="en-US"/>
        </w:rPr>
        <w:t>Higher Education fees</w:t>
      </w:r>
    </w:p>
    <w:p w14:paraId="186EACE7" w14:textId="3C4D9791" w:rsidR="00C27AD7" w:rsidRPr="002E1CDA" w:rsidRDefault="00227524" w:rsidP="008D7A49">
      <w:pPr>
        <w:spacing w:after="200" w:line="276" w:lineRule="auto"/>
        <w:rPr>
          <w:rFonts w:asciiTheme="minorHAnsi" w:hAnsiTheme="minorHAnsi" w:cstheme="minorHAnsi"/>
          <w:sz w:val="20"/>
          <w:lang w:val="en-US"/>
        </w:rPr>
      </w:pPr>
      <w:r w:rsidRPr="002E1CDA">
        <w:rPr>
          <w:rFonts w:asciiTheme="minorHAnsi" w:hAnsiTheme="minorHAnsi" w:cstheme="minorHAnsi"/>
          <w:sz w:val="20"/>
          <w:lang w:val="en-US"/>
        </w:rPr>
        <w:t>The Consumer Protection guidance for HEIs require that fees are must be set and published in good time for the marketing cycle therefore fees for</w:t>
      </w:r>
      <w:r w:rsidR="00D77BEC">
        <w:rPr>
          <w:rFonts w:asciiTheme="minorHAnsi" w:hAnsiTheme="minorHAnsi" w:cstheme="minorHAnsi"/>
          <w:sz w:val="20"/>
          <w:lang w:val="en-US"/>
        </w:rPr>
        <w:t xml:space="preserve"> 202</w:t>
      </w:r>
      <w:r w:rsidR="00441550">
        <w:rPr>
          <w:rFonts w:asciiTheme="minorHAnsi" w:hAnsiTheme="minorHAnsi" w:cstheme="minorHAnsi"/>
          <w:sz w:val="20"/>
          <w:lang w:val="en-US"/>
        </w:rPr>
        <w:t>4</w:t>
      </w:r>
      <w:r w:rsidR="00D77BEC">
        <w:rPr>
          <w:rFonts w:asciiTheme="minorHAnsi" w:hAnsiTheme="minorHAnsi" w:cstheme="minorHAnsi"/>
          <w:sz w:val="20"/>
          <w:lang w:val="en-US"/>
        </w:rPr>
        <w:t>/2</w:t>
      </w:r>
      <w:r w:rsidR="00441550">
        <w:rPr>
          <w:rFonts w:asciiTheme="minorHAnsi" w:hAnsiTheme="minorHAnsi" w:cstheme="minorHAnsi"/>
          <w:sz w:val="20"/>
          <w:lang w:val="en-US"/>
        </w:rPr>
        <w:t>5</w:t>
      </w:r>
      <w:r w:rsidRPr="002E1CDA">
        <w:rPr>
          <w:rFonts w:asciiTheme="minorHAnsi" w:hAnsiTheme="minorHAnsi" w:cstheme="minorHAnsi"/>
          <w:sz w:val="20"/>
          <w:lang w:val="en-US"/>
        </w:rPr>
        <w:t xml:space="preserve"> are:</w:t>
      </w:r>
    </w:p>
    <w:tbl>
      <w:tblPr>
        <w:tblStyle w:val="TableGrid"/>
        <w:tblpPr w:leftFromText="180" w:rightFromText="180" w:vertAnchor="text" w:tblpY="1"/>
        <w:tblOverlap w:val="never"/>
        <w:tblW w:w="9771" w:type="dxa"/>
        <w:tblLook w:val="04A0" w:firstRow="1" w:lastRow="0" w:firstColumn="1" w:lastColumn="0" w:noHBand="0" w:noVBand="1"/>
      </w:tblPr>
      <w:tblGrid>
        <w:gridCol w:w="5665"/>
        <w:gridCol w:w="2127"/>
        <w:gridCol w:w="1979"/>
      </w:tblGrid>
      <w:tr w:rsidR="003F7123" w:rsidRPr="002E1CDA" w14:paraId="6E32362A" w14:textId="77777777" w:rsidTr="00727D2E">
        <w:trPr>
          <w:trHeight w:val="424"/>
        </w:trPr>
        <w:tc>
          <w:tcPr>
            <w:tcW w:w="5665" w:type="dxa"/>
            <w:tcBorders>
              <w:top w:val="single" w:sz="4" w:space="0" w:color="auto"/>
              <w:left w:val="single" w:sz="4" w:space="0" w:color="auto"/>
              <w:bottom w:val="single" w:sz="4" w:space="0" w:color="auto"/>
              <w:right w:val="single" w:sz="4" w:space="0" w:color="auto"/>
            </w:tcBorders>
          </w:tcPr>
          <w:p w14:paraId="1401F6C2" w14:textId="77777777" w:rsidR="003F7123" w:rsidRPr="002E1CDA" w:rsidRDefault="003F7123" w:rsidP="003F7123">
            <w:pPr>
              <w:jc w:val="both"/>
              <w:rPr>
                <w:rFonts w:asciiTheme="minorHAnsi" w:hAnsiTheme="minorHAnsi" w:cstheme="minorHAnsi"/>
                <w:b/>
                <w:color w:val="FF0000"/>
                <w:sz w:val="20"/>
              </w:rPr>
            </w:pPr>
          </w:p>
          <w:p w14:paraId="2A6438DC" w14:textId="77777777" w:rsidR="003F7123" w:rsidRPr="002E1CDA" w:rsidRDefault="003F7123" w:rsidP="003F7123">
            <w:pPr>
              <w:rPr>
                <w:rFonts w:asciiTheme="minorHAnsi" w:hAnsiTheme="minorHAnsi" w:cstheme="minorHAnsi"/>
                <w:b/>
                <w:sz w:val="20"/>
              </w:rPr>
            </w:pPr>
            <w:r w:rsidRPr="002E1CDA">
              <w:rPr>
                <w:rFonts w:asciiTheme="minorHAnsi" w:hAnsiTheme="minorHAnsi" w:cstheme="minorHAnsi"/>
                <w:b/>
                <w:sz w:val="20"/>
              </w:rPr>
              <w:t>Full-Time Courses</w:t>
            </w:r>
          </w:p>
          <w:p w14:paraId="61E6153B" w14:textId="77777777" w:rsidR="003F7123" w:rsidRPr="002E1CDA" w:rsidRDefault="003F7123" w:rsidP="003F7123">
            <w:pPr>
              <w:jc w:val="both"/>
              <w:rPr>
                <w:rFonts w:asciiTheme="minorHAnsi" w:hAnsiTheme="minorHAnsi" w:cstheme="minorHAnsi"/>
                <w:b/>
                <w:sz w:val="20"/>
              </w:rPr>
            </w:pPr>
          </w:p>
        </w:tc>
        <w:tc>
          <w:tcPr>
            <w:tcW w:w="2127" w:type="dxa"/>
            <w:tcBorders>
              <w:top w:val="single" w:sz="4" w:space="0" w:color="auto"/>
              <w:left w:val="single" w:sz="4" w:space="0" w:color="auto"/>
              <w:bottom w:val="single" w:sz="4" w:space="0" w:color="auto"/>
              <w:right w:val="single" w:sz="4" w:space="0" w:color="auto"/>
            </w:tcBorders>
          </w:tcPr>
          <w:p w14:paraId="24A3B3C0" w14:textId="77777777" w:rsidR="003F7123" w:rsidRPr="00A269F9" w:rsidRDefault="003F7123" w:rsidP="003F7123">
            <w:pPr>
              <w:jc w:val="center"/>
              <w:rPr>
                <w:rFonts w:asciiTheme="minorHAnsi" w:hAnsiTheme="minorHAnsi" w:cstheme="minorHAnsi"/>
                <w:b/>
                <w:sz w:val="20"/>
              </w:rPr>
            </w:pPr>
          </w:p>
          <w:p w14:paraId="1B360927" w14:textId="373396A1" w:rsidR="003F7123" w:rsidRPr="00A269F9" w:rsidRDefault="003F7123" w:rsidP="003F7123">
            <w:pPr>
              <w:jc w:val="center"/>
              <w:rPr>
                <w:rFonts w:asciiTheme="minorHAnsi" w:hAnsiTheme="minorHAnsi" w:cstheme="minorHAnsi"/>
                <w:b/>
                <w:color w:val="FF0000"/>
                <w:sz w:val="20"/>
              </w:rPr>
            </w:pPr>
            <w:r w:rsidRPr="00A269F9">
              <w:rPr>
                <w:rFonts w:asciiTheme="minorHAnsi" w:hAnsiTheme="minorHAnsi" w:cstheme="minorHAnsi"/>
                <w:b/>
                <w:sz w:val="20"/>
              </w:rPr>
              <w:t>2023/24</w:t>
            </w:r>
          </w:p>
        </w:tc>
        <w:tc>
          <w:tcPr>
            <w:tcW w:w="1979" w:type="dxa"/>
            <w:tcBorders>
              <w:top w:val="single" w:sz="4" w:space="0" w:color="auto"/>
              <w:left w:val="single" w:sz="4" w:space="0" w:color="auto"/>
              <w:bottom w:val="single" w:sz="4" w:space="0" w:color="auto"/>
              <w:right w:val="single" w:sz="4" w:space="0" w:color="auto"/>
            </w:tcBorders>
          </w:tcPr>
          <w:p w14:paraId="3D656C23" w14:textId="77777777" w:rsidR="00A269F9" w:rsidRDefault="00A269F9" w:rsidP="003F7123">
            <w:pPr>
              <w:jc w:val="center"/>
              <w:rPr>
                <w:rFonts w:asciiTheme="minorHAnsi" w:hAnsiTheme="minorHAnsi" w:cstheme="minorHAnsi"/>
                <w:b/>
                <w:sz w:val="20"/>
                <w:highlight w:val="yellow"/>
              </w:rPr>
            </w:pPr>
          </w:p>
          <w:p w14:paraId="71C358CA" w14:textId="52BD25F1" w:rsidR="003F7123" w:rsidRPr="003F7123" w:rsidRDefault="00A269F9" w:rsidP="003F7123">
            <w:pPr>
              <w:jc w:val="center"/>
              <w:rPr>
                <w:rFonts w:asciiTheme="minorHAnsi" w:hAnsiTheme="minorHAnsi" w:cstheme="minorHAnsi"/>
                <w:sz w:val="20"/>
                <w:highlight w:val="yellow"/>
              </w:rPr>
            </w:pPr>
            <w:r w:rsidRPr="00603252">
              <w:rPr>
                <w:rFonts w:asciiTheme="minorHAnsi" w:hAnsiTheme="minorHAnsi" w:cstheme="minorHAnsi"/>
                <w:b/>
                <w:sz w:val="20"/>
                <w:highlight w:val="yellow"/>
              </w:rPr>
              <w:t>202</w:t>
            </w:r>
            <w:r>
              <w:rPr>
                <w:rFonts w:asciiTheme="minorHAnsi" w:hAnsiTheme="minorHAnsi" w:cstheme="minorHAnsi"/>
                <w:b/>
                <w:sz w:val="20"/>
                <w:highlight w:val="yellow"/>
              </w:rPr>
              <w:t>4/25</w:t>
            </w:r>
          </w:p>
        </w:tc>
      </w:tr>
      <w:tr w:rsidR="00A269F9" w:rsidRPr="002E1CDA" w14:paraId="39F31085" w14:textId="77777777" w:rsidTr="00727D2E">
        <w:trPr>
          <w:trHeight w:val="218"/>
        </w:trPr>
        <w:tc>
          <w:tcPr>
            <w:tcW w:w="5665" w:type="dxa"/>
            <w:tcBorders>
              <w:top w:val="single" w:sz="4" w:space="0" w:color="auto"/>
              <w:left w:val="single" w:sz="4" w:space="0" w:color="auto"/>
              <w:bottom w:val="single" w:sz="4" w:space="0" w:color="auto"/>
              <w:right w:val="single" w:sz="4" w:space="0" w:color="auto"/>
            </w:tcBorders>
            <w:vAlign w:val="center"/>
          </w:tcPr>
          <w:p w14:paraId="1754E1F8" w14:textId="77777777" w:rsidR="00A269F9" w:rsidRPr="002E1CDA" w:rsidRDefault="00A269F9" w:rsidP="00A269F9">
            <w:pPr>
              <w:jc w:val="both"/>
              <w:rPr>
                <w:rFonts w:asciiTheme="minorHAnsi" w:hAnsiTheme="minorHAnsi" w:cstheme="minorHAnsi"/>
                <w:b/>
                <w:sz w:val="20"/>
              </w:rPr>
            </w:pPr>
            <w:r w:rsidRPr="002E1CDA">
              <w:rPr>
                <w:rFonts w:asciiTheme="minorHAnsi" w:hAnsiTheme="minorHAnsi" w:cstheme="minorHAnsi"/>
                <w:sz w:val="20"/>
              </w:rPr>
              <w:t>BA / BSc (3 years) FT - Year 1</w:t>
            </w:r>
          </w:p>
        </w:tc>
        <w:tc>
          <w:tcPr>
            <w:tcW w:w="2127" w:type="dxa"/>
            <w:tcBorders>
              <w:top w:val="single" w:sz="4" w:space="0" w:color="auto"/>
              <w:left w:val="single" w:sz="4" w:space="0" w:color="auto"/>
              <w:bottom w:val="single" w:sz="4" w:space="0" w:color="auto"/>
              <w:right w:val="single" w:sz="4" w:space="0" w:color="auto"/>
            </w:tcBorders>
          </w:tcPr>
          <w:p w14:paraId="023CD11C" w14:textId="51267C13"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£8,400</w:t>
            </w:r>
          </w:p>
        </w:tc>
        <w:tc>
          <w:tcPr>
            <w:tcW w:w="1979" w:type="dxa"/>
            <w:tcBorders>
              <w:top w:val="single" w:sz="4" w:space="0" w:color="auto"/>
              <w:left w:val="single" w:sz="4" w:space="0" w:color="auto"/>
              <w:bottom w:val="single" w:sz="4" w:space="0" w:color="auto"/>
              <w:right w:val="single" w:sz="4" w:space="0" w:color="auto"/>
            </w:tcBorders>
          </w:tcPr>
          <w:p w14:paraId="41677B54" w14:textId="07BC5FA2" w:rsidR="00A269F9" w:rsidRPr="00603252"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£8</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400</w:t>
            </w:r>
          </w:p>
        </w:tc>
      </w:tr>
      <w:tr w:rsidR="00A269F9" w:rsidRPr="002E1CDA" w14:paraId="41E7F1EE" w14:textId="77777777" w:rsidTr="00727D2E">
        <w:trPr>
          <w:trHeight w:val="206"/>
        </w:trPr>
        <w:tc>
          <w:tcPr>
            <w:tcW w:w="5665" w:type="dxa"/>
            <w:tcBorders>
              <w:top w:val="single" w:sz="4" w:space="0" w:color="auto"/>
              <w:left w:val="single" w:sz="4" w:space="0" w:color="auto"/>
              <w:bottom w:val="single" w:sz="4" w:space="0" w:color="auto"/>
              <w:right w:val="single" w:sz="4" w:space="0" w:color="auto"/>
            </w:tcBorders>
            <w:vAlign w:val="center"/>
          </w:tcPr>
          <w:p w14:paraId="3CCD9156" w14:textId="77777777" w:rsidR="00A269F9" w:rsidRPr="002E1CDA" w:rsidRDefault="00A269F9" w:rsidP="00A269F9">
            <w:pPr>
              <w:jc w:val="both"/>
              <w:rPr>
                <w:rFonts w:asciiTheme="minorHAnsi" w:hAnsiTheme="minorHAnsi" w:cstheme="minorHAnsi"/>
                <w:sz w:val="20"/>
              </w:rPr>
            </w:pPr>
            <w:r w:rsidRPr="002E1CDA">
              <w:rPr>
                <w:rFonts w:asciiTheme="minorHAnsi" w:hAnsiTheme="minorHAnsi" w:cstheme="minorHAnsi"/>
                <w:sz w:val="20"/>
              </w:rPr>
              <w:t>BA / BSc (3 years) FT - Year 2</w:t>
            </w:r>
          </w:p>
        </w:tc>
        <w:tc>
          <w:tcPr>
            <w:tcW w:w="2127" w:type="dxa"/>
            <w:tcBorders>
              <w:top w:val="single" w:sz="4" w:space="0" w:color="auto"/>
              <w:left w:val="single" w:sz="4" w:space="0" w:color="auto"/>
              <w:bottom w:val="single" w:sz="4" w:space="0" w:color="auto"/>
              <w:right w:val="single" w:sz="4" w:space="0" w:color="auto"/>
            </w:tcBorders>
          </w:tcPr>
          <w:p w14:paraId="5B9D7D23" w14:textId="4C72B9B9"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£8,410</w:t>
            </w:r>
          </w:p>
        </w:tc>
        <w:tc>
          <w:tcPr>
            <w:tcW w:w="1979" w:type="dxa"/>
            <w:tcBorders>
              <w:top w:val="single" w:sz="4" w:space="0" w:color="auto"/>
              <w:left w:val="single" w:sz="4" w:space="0" w:color="auto"/>
              <w:bottom w:val="single" w:sz="4" w:space="0" w:color="auto"/>
              <w:right w:val="single" w:sz="4" w:space="0" w:color="auto"/>
            </w:tcBorders>
          </w:tcPr>
          <w:p w14:paraId="7766E83A" w14:textId="60AD880A" w:rsidR="00A269F9" w:rsidRPr="00603252"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£8</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400</w:t>
            </w:r>
          </w:p>
        </w:tc>
      </w:tr>
      <w:tr w:rsidR="00A269F9" w:rsidRPr="002E1CDA" w14:paraId="197BD8F7" w14:textId="77777777" w:rsidTr="00727D2E">
        <w:trPr>
          <w:trHeight w:val="218"/>
        </w:trPr>
        <w:tc>
          <w:tcPr>
            <w:tcW w:w="5665" w:type="dxa"/>
            <w:tcBorders>
              <w:top w:val="single" w:sz="4" w:space="0" w:color="auto"/>
              <w:left w:val="single" w:sz="4" w:space="0" w:color="auto"/>
              <w:bottom w:val="single" w:sz="4" w:space="0" w:color="auto"/>
              <w:right w:val="single" w:sz="4" w:space="0" w:color="auto"/>
            </w:tcBorders>
            <w:vAlign w:val="center"/>
          </w:tcPr>
          <w:p w14:paraId="7A3910D9" w14:textId="77777777" w:rsidR="00A269F9" w:rsidRPr="002E1CDA" w:rsidRDefault="00A269F9" w:rsidP="00A269F9">
            <w:pPr>
              <w:jc w:val="both"/>
              <w:rPr>
                <w:rFonts w:asciiTheme="minorHAnsi" w:hAnsiTheme="minorHAnsi" w:cstheme="minorHAnsi"/>
                <w:sz w:val="20"/>
              </w:rPr>
            </w:pPr>
            <w:r w:rsidRPr="002E1CDA">
              <w:rPr>
                <w:rFonts w:asciiTheme="minorHAnsi" w:hAnsiTheme="minorHAnsi" w:cstheme="minorHAnsi"/>
                <w:sz w:val="20"/>
              </w:rPr>
              <w:t>BA / BSc (3 years) FT - Year 3</w:t>
            </w:r>
          </w:p>
        </w:tc>
        <w:tc>
          <w:tcPr>
            <w:tcW w:w="2127" w:type="dxa"/>
            <w:tcBorders>
              <w:top w:val="single" w:sz="4" w:space="0" w:color="auto"/>
              <w:left w:val="single" w:sz="4" w:space="0" w:color="auto"/>
              <w:bottom w:val="single" w:sz="4" w:space="0" w:color="auto"/>
              <w:right w:val="single" w:sz="4" w:space="0" w:color="auto"/>
            </w:tcBorders>
          </w:tcPr>
          <w:p w14:paraId="06B47F9E" w14:textId="684BB95C"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£8,278</w:t>
            </w:r>
          </w:p>
        </w:tc>
        <w:tc>
          <w:tcPr>
            <w:tcW w:w="1979" w:type="dxa"/>
            <w:tcBorders>
              <w:top w:val="single" w:sz="4" w:space="0" w:color="auto"/>
              <w:left w:val="single" w:sz="4" w:space="0" w:color="auto"/>
              <w:bottom w:val="single" w:sz="4" w:space="0" w:color="auto"/>
              <w:right w:val="single" w:sz="4" w:space="0" w:color="auto"/>
            </w:tcBorders>
          </w:tcPr>
          <w:p w14:paraId="42357FFD" w14:textId="7C48DEB1" w:rsidR="00A269F9" w:rsidRPr="00603252"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£8</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410</w:t>
            </w:r>
          </w:p>
        </w:tc>
      </w:tr>
      <w:tr w:rsidR="00A269F9" w:rsidRPr="002E1CDA" w14:paraId="3CB8258E" w14:textId="77777777" w:rsidTr="00727D2E">
        <w:trPr>
          <w:trHeight w:val="218"/>
        </w:trPr>
        <w:tc>
          <w:tcPr>
            <w:tcW w:w="5665" w:type="dxa"/>
            <w:tcBorders>
              <w:top w:val="single" w:sz="4" w:space="0" w:color="auto"/>
              <w:left w:val="single" w:sz="4" w:space="0" w:color="auto"/>
              <w:bottom w:val="single" w:sz="4" w:space="0" w:color="auto"/>
              <w:right w:val="single" w:sz="4" w:space="0" w:color="auto"/>
            </w:tcBorders>
            <w:vAlign w:val="center"/>
            <w:hideMark/>
          </w:tcPr>
          <w:p w14:paraId="3F3F3D38" w14:textId="77777777" w:rsidR="00A269F9" w:rsidRPr="002E1CDA" w:rsidRDefault="00A269F9" w:rsidP="00A269F9">
            <w:pPr>
              <w:jc w:val="both"/>
              <w:rPr>
                <w:rFonts w:asciiTheme="minorHAnsi" w:hAnsiTheme="minorHAnsi" w:cstheme="minorHAnsi"/>
                <w:sz w:val="20"/>
              </w:rPr>
            </w:pPr>
            <w:r w:rsidRPr="002E1CDA">
              <w:rPr>
                <w:rFonts w:asciiTheme="minorHAnsi" w:hAnsiTheme="minorHAnsi" w:cstheme="minorHAnsi"/>
                <w:sz w:val="20"/>
              </w:rPr>
              <w:t>BA / BSc Top up (1 year) FT</w:t>
            </w:r>
          </w:p>
        </w:tc>
        <w:tc>
          <w:tcPr>
            <w:tcW w:w="2127" w:type="dxa"/>
            <w:tcBorders>
              <w:top w:val="single" w:sz="4" w:space="0" w:color="auto"/>
              <w:left w:val="single" w:sz="4" w:space="0" w:color="auto"/>
              <w:bottom w:val="single" w:sz="4" w:space="0" w:color="auto"/>
              <w:right w:val="single" w:sz="4" w:space="0" w:color="auto"/>
            </w:tcBorders>
          </w:tcPr>
          <w:p w14:paraId="60899B24" w14:textId="3C12DF61"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£8,400</w:t>
            </w:r>
          </w:p>
        </w:tc>
        <w:tc>
          <w:tcPr>
            <w:tcW w:w="1979" w:type="dxa"/>
            <w:tcBorders>
              <w:top w:val="single" w:sz="4" w:space="0" w:color="auto"/>
              <w:left w:val="single" w:sz="4" w:space="0" w:color="auto"/>
              <w:bottom w:val="single" w:sz="4" w:space="0" w:color="auto"/>
              <w:right w:val="single" w:sz="4" w:space="0" w:color="auto"/>
            </w:tcBorders>
          </w:tcPr>
          <w:p w14:paraId="7345180A" w14:textId="12941E32" w:rsidR="00A269F9" w:rsidRPr="00603252"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£8</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400</w:t>
            </w:r>
          </w:p>
        </w:tc>
      </w:tr>
      <w:tr w:rsidR="00A269F9" w:rsidRPr="002E1CDA" w14:paraId="78F5C851" w14:textId="77777777" w:rsidTr="00727D2E">
        <w:trPr>
          <w:trHeight w:val="206"/>
        </w:trPr>
        <w:tc>
          <w:tcPr>
            <w:tcW w:w="5665" w:type="dxa"/>
            <w:tcBorders>
              <w:top w:val="single" w:sz="4" w:space="0" w:color="auto"/>
              <w:left w:val="single" w:sz="4" w:space="0" w:color="auto"/>
              <w:bottom w:val="single" w:sz="4" w:space="0" w:color="auto"/>
              <w:right w:val="single" w:sz="4" w:space="0" w:color="auto"/>
            </w:tcBorders>
            <w:vAlign w:val="center"/>
            <w:hideMark/>
          </w:tcPr>
          <w:p w14:paraId="7F857E0A" w14:textId="77777777" w:rsidR="00A269F9" w:rsidRPr="002E1CDA" w:rsidRDefault="00A269F9" w:rsidP="00A269F9">
            <w:pPr>
              <w:jc w:val="both"/>
              <w:rPr>
                <w:rFonts w:asciiTheme="minorHAnsi" w:hAnsiTheme="minorHAnsi" w:cstheme="minorHAnsi"/>
                <w:sz w:val="20"/>
              </w:rPr>
            </w:pPr>
            <w:r w:rsidRPr="002E1CDA">
              <w:rPr>
                <w:rFonts w:asciiTheme="minorHAnsi" w:hAnsiTheme="minorHAnsi" w:cstheme="minorHAnsi"/>
                <w:sz w:val="20"/>
              </w:rPr>
              <w:t>Foundation Degrees- Year 1</w:t>
            </w:r>
          </w:p>
        </w:tc>
        <w:tc>
          <w:tcPr>
            <w:tcW w:w="2127" w:type="dxa"/>
            <w:tcBorders>
              <w:top w:val="single" w:sz="4" w:space="0" w:color="auto"/>
              <w:left w:val="single" w:sz="4" w:space="0" w:color="auto"/>
              <w:bottom w:val="single" w:sz="4" w:space="0" w:color="auto"/>
              <w:right w:val="single" w:sz="4" w:space="0" w:color="auto"/>
            </w:tcBorders>
          </w:tcPr>
          <w:p w14:paraId="5F29A62A" w14:textId="3B1067BA"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£8,300</w:t>
            </w:r>
          </w:p>
        </w:tc>
        <w:tc>
          <w:tcPr>
            <w:tcW w:w="1979" w:type="dxa"/>
            <w:tcBorders>
              <w:top w:val="single" w:sz="4" w:space="0" w:color="auto"/>
              <w:left w:val="single" w:sz="4" w:space="0" w:color="auto"/>
              <w:bottom w:val="single" w:sz="4" w:space="0" w:color="auto"/>
              <w:right w:val="single" w:sz="4" w:space="0" w:color="auto"/>
            </w:tcBorders>
          </w:tcPr>
          <w:p w14:paraId="48517B58" w14:textId="57571B3C" w:rsidR="00A269F9" w:rsidRPr="00603252"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£8</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300</w:t>
            </w:r>
          </w:p>
        </w:tc>
      </w:tr>
      <w:tr w:rsidR="00A269F9" w:rsidRPr="002E1CDA" w14:paraId="720007F7" w14:textId="77777777" w:rsidTr="00727D2E">
        <w:trPr>
          <w:trHeight w:val="218"/>
        </w:trPr>
        <w:tc>
          <w:tcPr>
            <w:tcW w:w="5665" w:type="dxa"/>
            <w:tcBorders>
              <w:top w:val="single" w:sz="4" w:space="0" w:color="auto"/>
              <w:left w:val="single" w:sz="4" w:space="0" w:color="auto"/>
              <w:bottom w:val="single" w:sz="4" w:space="0" w:color="auto"/>
              <w:right w:val="single" w:sz="4" w:space="0" w:color="auto"/>
            </w:tcBorders>
            <w:vAlign w:val="center"/>
            <w:hideMark/>
          </w:tcPr>
          <w:p w14:paraId="0812B41B" w14:textId="77777777" w:rsidR="00A269F9" w:rsidRPr="002E1CDA" w:rsidRDefault="00A269F9" w:rsidP="00A269F9">
            <w:pPr>
              <w:jc w:val="both"/>
              <w:rPr>
                <w:rFonts w:asciiTheme="minorHAnsi" w:hAnsiTheme="minorHAnsi" w:cstheme="minorHAnsi"/>
                <w:sz w:val="20"/>
              </w:rPr>
            </w:pPr>
            <w:r w:rsidRPr="002E1CDA">
              <w:rPr>
                <w:rFonts w:asciiTheme="minorHAnsi" w:hAnsiTheme="minorHAnsi" w:cstheme="minorHAnsi"/>
                <w:sz w:val="20"/>
              </w:rPr>
              <w:t>Foundation Degrees -Year 2</w:t>
            </w:r>
          </w:p>
        </w:tc>
        <w:tc>
          <w:tcPr>
            <w:tcW w:w="2127" w:type="dxa"/>
            <w:tcBorders>
              <w:top w:val="single" w:sz="4" w:space="0" w:color="auto"/>
              <w:left w:val="single" w:sz="4" w:space="0" w:color="auto"/>
              <w:bottom w:val="single" w:sz="4" w:space="0" w:color="auto"/>
              <w:right w:val="single" w:sz="4" w:space="0" w:color="auto"/>
            </w:tcBorders>
          </w:tcPr>
          <w:p w14:paraId="449791C3" w14:textId="7F681C17"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£8,278</w:t>
            </w:r>
          </w:p>
        </w:tc>
        <w:tc>
          <w:tcPr>
            <w:tcW w:w="1979" w:type="dxa"/>
            <w:tcBorders>
              <w:top w:val="single" w:sz="4" w:space="0" w:color="auto"/>
              <w:left w:val="single" w:sz="4" w:space="0" w:color="auto"/>
              <w:bottom w:val="single" w:sz="4" w:space="0" w:color="auto"/>
              <w:right w:val="single" w:sz="4" w:space="0" w:color="auto"/>
            </w:tcBorders>
          </w:tcPr>
          <w:p w14:paraId="5CB0497C" w14:textId="43BCBA0B" w:rsidR="00A269F9" w:rsidRPr="00603252"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£8</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300</w:t>
            </w:r>
          </w:p>
        </w:tc>
      </w:tr>
      <w:tr w:rsidR="00A269F9" w:rsidRPr="002E1CDA" w14:paraId="43E4218C" w14:textId="77777777" w:rsidTr="00727D2E">
        <w:trPr>
          <w:trHeight w:val="644"/>
        </w:trPr>
        <w:tc>
          <w:tcPr>
            <w:tcW w:w="5665" w:type="dxa"/>
            <w:tcBorders>
              <w:top w:val="single" w:sz="4" w:space="0" w:color="auto"/>
              <w:left w:val="single" w:sz="4" w:space="0" w:color="auto"/>
              <w:bottom w:val="single" w:sz="4" w:space="0" w:color="auto"/>
              <w:right w:val="single" w:sz="4" w:space="0" w:color="auto"/>
            </w:tcBorders>
            <w:hideMark/>
          </w:tcPr>
          <w:p w14:paraId="063E7A7B" w14:textId="77777777" w:rsidR="00A269F9" w:rsidRPr="002E1CDA" w:rsidRDefault="00A269F9" w:rsidP="00A269F9">
            <w:pPr>
              <w:jc w:val="both"/>
              <w:rPr>
                <w:rFonts w:asciiTheme="minorHAnsi" w:hAnsiTheme="minorHAnsi" w:cstheme="minorHAnsi"/>
                <w:sz w:val="20"/>
              </w:rPr>
            </w:pPr>
            <w:r w:rsidRPr="002E1CDA">
              <w:rPr>
                <w:rFonts w:asciiTheme="minorHAnsi" w:hAnsiTheme="minorHAnsi" w:cstheme="minorHAnsi"/>
                <w:sz w:val="20"/>
              </w:rPr>
              <w:t xml:space="preserve">HNC </w:t>
            </w:r>
          </w:p>
        </w:tc>
        <w:tc>
          <w:tcPr>
            <w:tcW w:w="2127" w:type="dxa"/>
            <w:tcBorders>
              <w:top w:val="single" w:sz="4" w:space="0" w:color="auto"/>
              <w:left w:val="single" w:sz="4" w:space="0" w:color="auto"/>
              <w:bottom w:val="single" w:sz="4" w:space="0" w:color="auto"/>
              <w:right w:val="single" w:sz="4" w:space="0" w:color="auto"/>
            </w:tcBorders>
          </w:tcPr>
          <w:p w14:paraId="580A902C" w14:textId="77777777"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£6,700</w:t>
            </w:r>
          </w:p>
          <w:p w14:paraId="7F786B9E" w14:textId="2849BE87"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(except £7,400 for C&amp;E*)</w:t>
            </w:r>
          </w:p>
        </w:tc>
        <w:tc>
          <w:tcPr>
            <w:tcW w:w="1979" w:type="dxa"/>
            <w:tcBorders>
              <w:top w:val="single" w:sz="4" w:space="0" w:color="auto"/>
              <w:left w:val="single" w:sz="4" w:space="0" w:color="auto"/>
              <w:bottom w:val="single" w:sz="4" w:space="0" w:color="auto"/>
              <w:right w:val="single" w:sz="4" w:space="0" w:color="auto"/>
            </w:tcBorders>
          </w:tcPr>
          <w:p w14:paraId="0E7FAE3D" w14:textId="3A3A0B64" w:rsidR="00A269F9" w:rsidRPr="003F7123"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£6</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700</w:t>
            </w:r>
          </w:p>
          <w:p w14:paraId="175C1D7E" w14:textId="5FD3DB89" w:rsidR="00A269F9" w:rsidRPr="00603252"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(except £7</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400 for C&amp;E*)</w:t>
            </w:r>
          </w:p>
        </w:tc>
      </w:tr>
      <w:tr w:rsidR="00A269F9" w:rsidRPr="002E1CDA" w14:paraId="047F034C" w14:textId="77777777" w:rsidTr="00727D2E">
        <w:trPr>
          <w:trHeight w:val="644"/>
        </w:trPr>
        <w:tc>
          <w:tcPr>
            <w:tcW w:w="5665" w:type="dxa"/>
            <w:tcBorders>
              <w:top w:val="single" w:sz="4" w:space="0" w:color="auto"/>
              <w:left w:val="single" w:sz="4" w:space="0" w:color="auto"/>
              <w:bottom w:val="single" w:sz="4" w:space="0" w:color="auto"/>
              <w:right w:val="single" w:sz="4" w:space="0" w:color="auto"/>
            </w:tcBorders>
            <w:hideMark/>
          </w:tcPr>
          <w:p w14:paraId="21E7C93C" w14:textId="77777777" w:rsidR="00A269F9" w:rsidRPr="002E1CDA" w:rsidRDefault="00A269F9" w:rsidP="00A269F9">
            <w:pPr>
              <w:jc w:val="both"/>
              <w:rPr>
                <w:rFonts w:asciiTheme="minorHAnsi" w:hAnsiTheme="minorHAnsi" w:cstheme="minorHAnsi"/>
                <w:sz w:val="20"/>
              </w:rPr>
            </w:pPr>
            <w:r w:rsidRPr="002E1CDA">
              <w:rPr>
                <w:rFonts w:asciiTheme="minorHAnsi" w:hAnsiTheme="minorHAnsi" w:cstheme="minorHAnsi"/>
                <w:sz w:val="20"/>
              </w:rPr>
              <w:t xml:space="preserve">HND – top up  </w:t>
            </w:r>
          </w:p>
        </w:tc>
        <w:tc>
          <w:tcPr>
            <w:tcW w:w="2127" w:type="dxa"/>
            <w:tcBorders>
              <w:top w:val="single" w:sz="4" w:space="0" w:color="auto"/>
              <w:left w:val="single" w:sz="4" w:space="0" w:color="auto"/>
              <w:bottom w:val="single" w:sz="4" w:space="0" w:color="auto"/>
              <w:right w:val="single" w:sz="4" w:space="0" w:color="auto"/>
            </w:tcBorders>
          </w:tcPr>
          <w:p w14:paraId="301F1304" w14:textId="77777777"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£6,700</w:t>
            </w:r>
          </w:p>
          <w:p w14:paraId="7A9569F4" w14:textId="33294F5B"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(except £7,400 for C&amp;E*)</w:t>
            </w:r>
          </w:p>
        </w:tc>
        <w:tc>
          <w:tcPr>
            <w:tcW w:w="1979" w:type="dxa"/>
            <w:tcBorders>
              <w:top w:val="single" w:sz="4" w:space="0" w:color="auto"/>
              <w:left w:val="single" w:sz="4" w:space="0" w:color="auto"/>
              <w:bottom w:val="single" w:sz="4" w:space="0" w:color="auto"/>
              <w:right w:val="single" w:sz="4" w:space="0" w:color="auto"/>
            </w:tcBorders>
          </w:tcPr>
          <w:p w14:paraId="2815B37E" w14:textId="5D99F94C" w:rsidR="00A269F9" w:rsidRPr="003F7123"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£6</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700</w:t>
            </w:r>
          </w:p>
          <w:p w14:paraId="7ED67622" w14:textId="6393A923" w:rsidR="00A269F9" w:rsidRPr="00603252"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(except £7400 for C&amp;E*)</w:t>
            </w:r>
          </w:p>
        </w:tc>
      </w:tr>
      <w:tr w:rsidR="00A269F9" w:rsidRPr="002E1CDA" w14:paraId="340A0F90" w14:textId="77777777" w:rsidTr="00727D2E">
        <w:trPr>
          <w:trHeight w:val="424"/>
        </w:trPr>
        <w:tc>
          <w:tcPr>
            <w:tcW w:w="5665" w:type="dxa"/>
            <w:tcBorders>
              <w:top w:val="single" w:sz="4" w:space="0" w:color="auto"/>
              <w:left w:val="single" w:sz="4" w:space="0" w:color="auto"/>
              <w:bottom w:val="single" w:sz="4" w:space="0" w:color="auto"/>
              <w:right w:val="single" w:sz="4" w:space="0" w:color="auto"/>
            </w:tcBorders>
            <w:hideMark/>
          </w:tcPr>
          <w:p w14:paraId="17AE215A" w14:textId="77777777" w:rsidR="00A269F9" w:rsidRPr="002E1CDA" w:rsidRDefault="00A269F9" w:rsidP="00A269F9">
            <w:pPr>
              <w:rPr>
                <w:rFonts w:asciiTheme="minorHAnsi" w:hAnsiTheme="minorHAnsi" w:cstheme="minorHAnsi"/>
                <w:sz w:val="20"/>
              </w:rPr>
            </w:pPr>
            <w:r w:rsidRPr="002E1CDA">
              <w:rPr>
                <w:rFonts w:asciiTheme="minorHAnsi" w:hAnsiTheme="minorHAnsi" w:cstheme="minorHAnsi"/>
                <w:sz w:val="20"/>
              </w:rPr>
              <w:t>PGCE/PGDipE/Certificate in Education FT</w:t>
            </w:r>
          </w:p>
        </w:tc>
        <w:tc>
          <w:tcPr>
            <w:tcW w:w="2127" w:type="dxa"/>
            <w:tcBorders>
              <w:top w:val="single" w:sz="4" w:space="0" w:color="auto"/>
              <w:left w:val="single" w:sz="4" w:space="0" w:color="auto"/>
              <w:bottom w:val="single" w:sz="4" w:space="0" w:color="auto"/>
              <w:right w:val="single" w:sz="4" w:space="0" w:color="auto"/>
            </w:tcBorders>
          </w:tcPr>
          <w:p w14:paraId="106DDC32" w14:textId="52D613CC" w:rsidR="00A269F9" w:rsidRPr="00A269F9" w:rsidRDefault="00A269F9" w:rsidP="00A269F9">
            <w:pPr>
              <w:jc w:val="center"/>
              <w:rPr>
                <w:rFonts w:asciiTheme="minorHAnsi" w:hAnsiTheme="minorHAnsi" w:cstheme="minorHAnsi"/>
                <w:sz w:val="20"/>
              </w:rPr>
            </w:pPr>
            <w:r w:rsidRPr="00A269F9">
              <w:rPr>
                <w:rFonts w:asciiTheme="minorHAnsi" w:hAnsiTheme="minorHAnsi" w:cstheme="minorHAnsi"/>
                <w:sz w:val="20"/>
              </w:rPr>
              <w:t>£8,450</w:t>
            </w:r>
          </w:p>
        </w:tc>
        <w:tc>
          <w:tcPr>
            <w:tcW w:w="1979" w:type="dxa"/>
            <w:tcBorders>
              <w:top w:val="single" w:sz="4" w:space="0" w:color="auto"/>
              <w:left w:val="single" w:sz="4" w:space="0" w:color="auto"/>
              <w:bottom w:val="single" w:sz="4" w:space="0" w:color="auto"/>
              <w:right w:val="single" w:sz="4" w:space="0" w:color="auto"/>
            </w:tcBorders>
          </w:tcPr>
          <w:p w14:paraId="1B44A8BD" w14:textId="76FDD357" w:rsidR="00A269F9" w:rsidRPr="00603252" w:rsidRDefault="00A269F9" w:rsidP="00A269F9">
            <w:pPr>
              <w:jc w:val="center"/>
              <w:rPr>
                <w:rFonts w:asciiTheme="minorHAnsi" w:hAnsiTheme="minorHAnsi" w:cstheme="minorHAnsi"/>
                <w:sz w:val="20"/>
                <w:highlight w:val="yellow"/>
              </w:rPr>
            </w:pPr>
            <w:r w:rsidRPr="003F7123">
              <w:rPr>
                <w:rFonts w:asciiTheme="minorHAnsi" w:hAnsiTheme="minorHAnsi" w:cstheme="minorHAnsi"/>
                <w:sz w:val="20"/>
                <w:highlight w:val="yellow"/>
              </w:rPr>
              <w:t>£8</w:t>
            </w:r>
            <w:r w:rsidR="00441550">
              <w:rPr>
                <w:rFonts w:asciiTheme="minorHAnsi" w:hAnsiTheme="minorHAnsi" w:cstheme="minorHAnsi"/>
                <w:sz w:val="20"/>
                <w:highlight w:val="yellow"/>
              </w:rPr>
              <w:t>,</w:t>
            </w:r>
            <w:r w:rsidRPr="003F7123">
              <w:rPr>
                <w:rFonts w:asciiTheme="minorHAnsi" w:hAnsiTheme="minorHAnsi" w:cstheme="minorHAnsi"/>
                <w:sz w:val="20"/>
                <w:highlight w:val="yellow"/>
              </w:rPr>
              <w:t>450</w:t>
            </w:r>
          </w:p>
        </w:tc>
      </w:tr>
    </w:tbl>
    <w:p w14:paraId="51AC0548" w14:textId="77777777" w:rsidR="002349B4" w:rsidRPr="002E1CDA" w:rsidRDefault="002349B4" w:rsidP="009607DB">
      <w:pPr>
        <w:jc w:val="both"/>
        <w:rPr>
          <w:rFonts w:asciiTheme="minorHAnsi" w:hAnsiTheme="minorHAnsi" w:cstheme="minorHAnsi"/>
          <w:sz w:val="20"/>
          <w:lang w:val="en-US"/>
        </w:rPr>
      </w:pPr>
    </w:p>
    <w:tbl>
      <w:tblPr>
        <w:tblStyle w:val="TableGrid"/>
        <w:tblpPr w:leftFromText="180" w:rightFromText="180" w:vertAnchor="text" w:tblpY="1"/>
        <w:tblOverlap w:val="never"/>
        <w:tblW w:w="9790" w:type="dxa"/>
        <w:tblLook w:val="04A0" w:firstRow="1" w:lastRow="0" w:firstColumn="1" w:lastColumn="0" w:noHBand="0" w:noVBand="1"/>
      </w:tblPr>
      <w:tblGrid>
        <w:gridCol w:w="5665"/>
        <w:gridCol w:w="2127"/>
        <w:gridCol w:w="1998"/>
      </w:tblGrid>
      <w:tr w:rsidR="00A269F9" w:rsidRPr="002E1CDA" w14:paraId="1624B94A" w14:textId="77777777" w:rsidTr="00A269F9">
        <w:trPr>
          <w:trHeight w:val="768"/>
        </w:trPr>
        <w:tc>
          <w:tcPr>
            <w:tcW w:w="5665" w:type="dxa"/>
            <w:tcBorders>
              <w:top w:val="single" w:sz="4" w:space="0" w:color="auto"/>
              <w:left w:val="single" w:sz="4" w:space="0" w:color="auto"/>
              <w:bottom w:val="single" w:sz="4" w:space="0" w:color="auto"/>
              <w:right w:val="single" w:sz="4" w:space="0" w:color="auto"/>
            </w:tcBorders>
          </w:tcPr>
          <w:p w14:paraId="27143006" w14:textId="77777777" w:rsidR="00A269F9" w:rsidRPr="002E1CDA" w:rsidRDefault="00A269F9" w:rsidP="00A269F9">
            <w:pPr>
              <w:rPr>
                <w:rFonts w:asciiTheme="minorHAnsi" w:hAnsiTheme="minorHAnsi" w:cstheme="minorHAnsi"/>
                <w:b/>
                <w:sz w:val="20"/>
              </w:rPr>
            </w:pPr>
          </w:p>
          <w:p w14:paraId="4C832887" w14:textId="77777777" w:rsidR="00A269F9" w:rsidRPr="002E1CDA" w:rsidRDefault="00A269F9" w:rsidP="00A269F9">
            <w:pPr>
              <w:rPr>
                <w:rFonts w:asciiTheme="minorHAnsi" w:hAnsiTheme="minorHAnsi" w:cstheme="minorHAnsi"/>
                <w:b/>
                <w:sz w:val="20"/>
              </w:rPr>
            </w:pPr>
            <w:r w:rsidRPr="002E1CDA">
              <w:rPr>
                <w:rFonts w:asciiTheme="minorHAnsi" w:hAnsiTheme="minorHAnsi" w:cstheme="minorHAnsi"/>
                <w:b/>
                <w:sz w:val="20"/>
              </w:rPr>
              <w:t>Part-time HE Courses</w:t>
            </w:r>
          </w:p>
          <w:p w14:paraId="5EB68E6B" w14:textId="77777777" w:rsidR="00A269F9" w:rsidRPr="002E1CDA" w:rsidRDefault="00A269F9" w:rsidP="00A269F9">
            <w:pPr>
              <w:rPr>
                <w:rFonts w:asciiTheme="minorHAnsi" w:hAnsiTheme="minorHAnsi" w:cstheme="minorHAnsi"/>
                <w:b/>
                <w:sz w:val="20"/>
              </w:rPr>
            </w:pPr>
          </w:p>
        </w:tc>
        <w:tc>
          <w:tcPr>
            <w:tcW w:w="2127" w:type="dxa"/>
            <w:tcBorders>
              <w:top w:val="single" w:sz="4" w:space="0" w:color="auto"/>
              <w:left w:val="single" w:sz="4" w:space="0" w:color="auto"/>
              <w:bottom w:val="single" w:sz="4" w:space="0" w:color="auto"/>
              <w:right w:val="single" w:sz="4" w:space="0" w:color="auto"/>
            </w:tcBorders>
          </w:tcPr>
          <w:p w14:paraId="0D1FD1B9" w14:textId="77777777" w:rsidR="00A269F9" w:rsidRPr="00A269F9" w:rsidRDefault="00A269F9" w:rsidP="00A269F9">
            <w:pPr>
              <w:jc w:val="center"/>
              <w:rPr>
                <w:rFonts w:asciiTheme="minorHAnsi" w:hAnsiTheme="minorHAnsi" w:cstheme="minorHAnsi"/>
                <w:b/>
                <w:sz w:val="20"/>
              </w:rPr>
            </w:pPr>
          </w:p>
          <w:p w14:paraId="6BD7DF03" w14:textId="18BD6B72" w:rsidR="00A269F9" w:rsidRPr="00A269F9" w:rsidRDefault="00A269F9" w:rsidP="00A269F9">
            <w:pPr>
              <w:jc w:val="center"/>
              <w:rPr>
                <w:rFonts w:asciiTheme="minorHAnsi" w:hAnsiTheme="minorHAnsi" w:cstheme="minorHAnsi"/>
                <w:b/>
                <w:sz w:val="20"/>
              </w:rPr>
            </w:pPr>
            <w:r w:rsidRPr="00A269F9">
              <w:rPr>
                <w:rFonts w:asciiTheme="minorHAnsi" w:hAnsiTheme="minorHAnsi" w:cstheme="minorHAnsi"/>
                <w:b/>
                <w:sz w:val="20"/>
              </w:rPr>
              <w:t>2023/24</w:t>
            </w:r>
          </w:p>
        </w:tc>
        <w:tc>
          <w:tcPr>
            <w:tcW w:w="1998" w:type="dxa"/>
            <w:tcBorders>
              <w:top w:val="single" w:sz="4" w:space="0" w:color="auto"/>
              <w:left w:val="single" w:sz="4" w:space="0" w:color="auto"/>
              <w:bottom w:val="single" w:sz="4" w:space="0" w:color="auto"/>
              <w:right w:val="single" w:sz="4" w:space="0" w:color="auto"/>
            </w:tcBorders>
          </w:tcPr>
          <w:p w14:paraId="440C64E1" w14:textId="77777777" w:rsidR="00A269F9" w:rsidRPr="00603252" w:rsidRDefault="00A269F9" w:rsidP="00A269F9">
            <w:pPr>
              <w:jc w:val="center"/>
              <w:rPr>
                <w:rFonts w:asciiTheme="minorHAnsi" w:hAnsiTheme="minorHAnsi" w:cstheme="minorHAnsi"/>
                <w:b/>
                <w:sz w:val="20"/>
                <w:highlight w:val="yellow"/>
              </w:rPr>
            </w:pPr>
          </w:p>
          <w:p w14:paraId="2A86F2FE" w14:textId="0DD92362" w:rsidR="00A269F9" w:rsidRPr="00603252" w:rsidRDefault="00A269F9" w:rsidP="00A269F9">
            <w:pPr>
              <w:jc w:val="center"/>
              <w:rPr>
                <w:rFonts w:asciiTheme="minorHAnsi" w:hAnsiTheme="minorHAnsi" w:cstheme="minorHAnsi"/>
                <w:b/>
                <w:sz w:val="20"/>
                <w:highlight w:val="yellow"/>
              </w:rPr>
            </w:pPr>
            <w:r w:rsidRPr="00603252">
              <w:rPr>
                <w:rFonts w:asciiTheme="minorHAnsi" w:hAnsiTheme="minorHAnsi" w:cstheme="minorHAnsi"/>
                <w:b/>
                <w:sz w:val="20"/>
                <w:highlight w:val="yellow"/>
              </w:rPr>
              <w:t>2023/24</w:t>
            </w:r>
          </w:p>
        </w:tc>
      </w:tr>
      <w:tr w:rsidR="00C654FE" w:rsidRPr="002E1CDA" w14:paraId="0AEFF747" w14:textId="77777777" w:rsidTr="00A269F9">
        <w:trPr>
          <w:trHeight w:val="522"/>
        </w:trPr>
        <w:tc>
          <w:tcPr>
            <w:tcW w:w="5665" w:type="dxa"/>
            <w:tcBorders>
              <w:top w:val="single" w:sz="4" w:space="0" w:color="auto"/>
              <w:left w:val="single" w:sz="4" w:space="0" w:color="auto"/>
              <w:bottom w:val="single" w:sz="4" w:space="0" w:color="auto"/>
              <w:right w:val="single" w:sz="4" w:space="0" w:color="auto"/>
            </w:tcBorders>
            <w:vAlign w:val="center"/>
          </w:tcPr>
          <w:p w14:paraId="19E51C82" w14:textId="77777777" w:rsidR="00C654FE" w:rsidRPr="002E1CDA" w:rsidRDefault="00C654FE" w:rsidP="00C654FE">
            <w:pPr>
              <w:rPr>
                <w:rFonts w:asciiTheme="minorHAnsi" w:hAnsiTheme="minorHAnsi" w:cstheme="minorHAnsi"/>
                <w:sz w:val="20"/>
              </w:rPr>
            </w:pPr>
            <w:r w:rsidRPr="002E1CDA">
              <w:rPr>
                <w:rFonts w:asciiTheme="minorHAnsi" w:hAnsiTheme="minorHAnsi" w:cstheme="minorHAnsi"/>
                <w:sz w:val="20"/>
              </w:rPr>
              <w:t>PGCE/PGDipE/Certificate in Education PT - Year 1</w:t>
            </w:r>
          </w:p>
        </w:tc>
        <w:tc>
          <w:tcPr>
            <w:tcW w:w="2127" w:type="dxa"/>
            <w:tcBorders>
              <w:top w:val="single" w:sz="4" w:space="0" w:color="auto"/>
              <w:left w:val="single" w:sz="4" w:space="0" w:color="auto"/>
              <w:bottom w:val="single" w:sz="4" w:space="0" w:color="auto"/>
              <w:right w:val="single" w:sz="4" w:space="0" w:color="auto"/>
            </w:tcBorders>
          </w:tcPr>
          <w:p w14:paraId="7F2C4C11" w14:textId="7977325C" w:rsidR="00C654FE" w:rsidRPr="00A269F9" w:rsidRDefault="00C654FE" w:rsidP="00C654FE">
            <w:pPr>
              <w:jc w:val="center"/>
              <w:rPr>
                <w:rFonts w:asciiTheme="minorHAnsi" w:hAnsiTheme="minorHAnsi" w:cstheme="minorHAnsi"/>
                <w:sz w:val="20"/>
              </w:rPr>
            </w:pPr>
            <w:r w:rsidRPr="00A269F9">
              <w:rPr>
                <w:rFonts w:asciiTheme="minorHAnsi" w:hAnsiTheme="minorHAnsi" w:cstheme="minorHAnsi"/>
                <w:sz w:val="20"/>
              </w:rPr>
              <w:t>£4,200</w:t>
            </w:r>
          </w:p>
        </w:tc>
        <w:tc>
          <w:tcPr>
            <w:tcW w:w="1998" w:type="dxa"/>
            <w:tcBorders>
              <w:top w:val="single" w:sz="4" w:space="0" w:color="auto"/>
              <w:left w:val="single" w:sz="4" w:space="0" w:color="auto"/>
              <w:bottom w:val="single" w:sz="4" w:space="0" w:color="auto"/>
              <w:right w:val="single" w:sz="4" w:space="0" w:color="auto"/>
            </w:tcBorders>
          </w:tcPr>
          <w:p w14:paraId="1DCADF94" w14:textId="3E7B6E84" w:rsidR="00C654FE" w:rsidRPr="00C844C6" w:rsidRDefault="00C654FE" w:rsidP="00C654FE">
            <w:pPr>
              <w:jc w:val="center"/>
              <w:rPr>
                <w:rFonts w:asciiTheme="minorHAnsi" w:hAnsiTheme="minorHAnsi" w:cstheme="minorHAnsi"/>
                <w:sz w:val="20"/>
                <w:highlight w:val="yellow"/>
              </w:rPr>
            </w:pPr>
            <w:r w:rsidRPr="00C844C6">
              <w:rPr>
                <w:rFonts w:asciiTheme="minorHAnsi" w:hAnsiTheme="minorHAnsi" w:cstheme="minorHAnsi"/>
                <w:sz w:val="20"/>
                <w:highlight w:val="yellow"/>
              </w:rPr>
              <w:t>£4</w:t>
            </w:r>
            <w:r w:rsidR="00C844C6">
              <w:rPr>
                <w:rFonts w:asciiTheme="minorHAnsi" w:hAnsiTheme="minorHAnsi" w:cstheme="minorHAnsi"/>
                <w:sz w:val="20"/>
                <w:highlight w:val="yellow"/>
              </w:rPr>
              <w:t>,</w:t>
            </w:r>
            <w:r w:rsidRPr="00C844C6">
              <w:rPr>
                <w:rFonts w:asciiTheme="minorHAnsi" w:hAnsiTheme="minorHAnsi" w:cstheme="minorHAnsi"/>
                <w:sz w:val="20"/>
                <w:highlight w:val="yellow"/>
              </w:rPr>
              <w:t>200</w:t>
            </w:r>
          </w:p>
        </w:tc>
      </w:tr>
      <w:tr w:rsidR="00C654FE" w:rsidRPr="002E1CDA" w14:paraId="1D584731" w14:textId="77777777" w:rsidTr="00A269F9">
        <w:trPr>
          <w:trHeight w:val="507"/>
        </w:trPr>
        <w:tc>
          <w:tcPr>
            <w:tcW w:w="5665" w:type="dxa"/>
            <w:tcBorders>
              <w:top w:val="single" w:sz="4" w:space="0" w:color="auto"/>
              <w:left w:val="single" w:sz="4" w:space="0" w:color="auto"/>
              <w:bottom w:val="single" w:sz="4" w:space="0" w:color="auto"/>
              <w:right w:val="single" w:sz="4" w:space="0" w:color="auto"/>
            </w:tcBorders>
            <w:vAlign w:val="center"/>
          </w:tcPr>
          <w:p w14:paraId="32EE0F59" w14:textId="77777777" w:rsidR="00C654FE" w:rsidRPr="002E1CDA" w:rsidRDefault="00C654FE" w:rsidP="00C654FE">
            <w:pPr>
              <w:rPr>
                <w:rFonts w:asciiTheme="minorHAnsi" w:hAnsiTheme="minorHAnsi" w:cstheme="minorHAnsi"/>
                <w:sz w:val="20"/>
              </w:rPr>
            </w:pPr>
            <w:r w:rsidRPr="002E1CDA">
              <w:rPr>
                <w:rFonts w:asciiTheme="minorHAnsi" w:hAnsiTheme="minorHAnsi" w:cstheme="minorHAnsi"/>
                <w:sz w:val="20"/>
              </w:rPr>
              <w:t>PGCE/PGDipE/Certificate in Education PT- Year 2</w:t>
            </w:r>
          </w:p>
        </w:tc>
        <w:tc>
          <w:tcPr>
            <w:tcW w:w="2127" w:type="dxa"/>
            <w:tcBorders>
              <w:top w:val="single" w:sz="4" w:space="0" w:color="auto"/>
              <w:left w:val="single" w:sz="4" w:space="0" w:color="auto"/>
              <w:bottom w:val="single" w:sz="4" w:space="0" w:color="auto"/>
              <w:right w:val="single" w:sz="4" w:space="0" w:color="auto"/>
            </w:tcBorders>
          </w:tcPr>
          <w:p w14:paraId="06869F53" w14:textId="1A475219" w:rsidR="00C654FE" w:rsidRPr="00A269F9" w:rsidRDefault="00C654FE" w:rsidP="00C654FE">
            <w:pPr>
              <w:jc w:val="center"/>
              <w:rPr>
                <w:rFonts w:asciiTheme="minorHAnsi" w:hAnsiTheme="minorHAnsi" w:cstheme="minorHAnsi"/>
                <w:sz w:val="20"/>
              </w:rPr>
            </w:pPr>
            <w:r w:rsidRPr="00A269F9">
              <w:rPr>
                <w:rFonts w:asciiTheme="minorHAnsi" w:hAnsiTheme="minorHAnsi" w:cstheme="minorHAnsi"/>
                <w:sz w:val="20"/>
              </w:rPr>
              <w:t>£4,205</w:t>
            </w:r>
          </w:p>
        </w:tc>
        <w:tc>
          <w:tcPr>
            <w:tcW w:w="1998" w:type="dxa"/>
            <w:tcBorders>
              <w:top w:val="single" w:sz="4" w:space="0" w:color="auto"/>
              <w:left w:val="single" w:sz="4" w:space="0" w:color="auto"/>
              <w:bottom w:val="single" w:sz="4" w:space="0" w:color="auto"/>
              <w:right w:val="single" w:sz="4" w:space="0" w:color="auto"/>
            </w:tcBorders>
          </w:tcPr>
          <w:p w14:paraId="43FEB450" w14:textId="6AFA7886" w:rsidR="00C654FE" w:rsidRPr="00C844C6" w:rsidRDefault="00C654FE" w:rsidP="00C654FE">
            <w:pPr>
              <w:jc w:val="center"/>
              <w:rPr>
                <w:rFonts w:asciiTheme="minorHAnsi" w:hAnsiTheme="minorHAnsi" w:cstheme="minorHAnsi"/>
                <w:sz w:val="20"/>
                <w:highlight w:val="yellow"/>
              </w:rPr>
            </w:pPr>
            <w:r w:rsidRPr="00C844C6">
              <w:rPr>
                <w:rFonts w:asciiTheme="minorHAnsi" w:hAnsiTheme="minorHAnsi" w:cstheme="minorHAnsi"/>
                <w:sz w:val="20"/>
                <w:highlight w:val="yellow"/>
              </w:rPr>
              <w:t>£4</w:t>
            </w:r>
            <w:r w:rsidR="00C844C6">
              <w:rPr>
                <w:rFonts w:asciiTheme="minorHAnsi" w:hAnsiTheme="minorHAnsi" w:cstheme="minorHAnsi"/>
                <w:sz w:val="20"/>
                <w:highlight w:val="yellow"/>
              </w:rPr>
              <w:t>,</w:t>
            </w:r>
            <w:r w:rsidRPr="00C844C6">
              <w:rPr>
                <w:rFonts w:asciiTheme="minorHAnsi" w:hAnsiTheme="minorHAnsi" w:cstheme="minorHAnsi"/>
                <w:sz w:val="20"/>
                <w:highlight w:val="yellow"/>
              </w:rPr>
              <w:t>200</w:t>
            </w:r>
          </w:p>
        </w:tc>
      </w:tr>
      <w:tr w:rsidR="00EB794F" w:rsidRPr="002E1CDA" w14:paraId="09182C37" w14:textId="77777777" w:rsidTr="00A269F9">
        <w:trPr>
          <w:trHeight w:val="522"/>
        </w:trPr>
        <w:tc>
          <w:tcPr>
            <w:tcW w:w="5665" w:type="dxa"/>
            <w:tcBorders>
              <w:top w:val="single" w:sz="4" w:space="0" w:color="auto"/>
              <w:left w:val="single" w:sz="4" w:space="0" w:color="auto"/>
              <w:bottom w:val="single" w:sz="4" w:space="0" w:color="auto"/>
              <w:right w:val="single" w:sz="4" w:space="0" w:color="auto"/>
            </w:tcBorders>
            <w:vAlign w:val="center"/>
          </w:tcPr>
          <w:p w14:paraId="02283D71" w14:textId="77777777" w:rsidR="00EB794F" w:rsidRPr="002E1CDA" w:rsidRDefault="00EB794F" w:rsidP="00EB794F">
            <w:pPr>
              <w:rPr>
                <w:rFonts w:asciiTheme="minorHAnsi" w:hAnsiTheme="minorHAnsi" w:cstheme="minorHAnsi"/>
                <w:sz w:val="20"/>
              </w:rPr>
            </w:pPr>
            <w:r w:rsidRPr="002E1CDA">
              <w:rPr>
                <w:rFonts w:asciiTheme="minorHAnsi" w:hAnsiTheme="minorHAnsi" w:cstheme="minorHAnsi"/>
                <w:sz w:val="20"/>
              </w:rPr>
              <w:t>Foundation Degree Dental Technology (3 year) - Year 1</w:t>
            </w:r>
          </w:p>
        </w:tc>
        <w:tc>
          <w:tcPr>
            <w:tcW w:w="2127" w:type="dxa"/>
            <w:tcBorders>
              <w:top w:val="single" w:sz="4" w:space="0" w:color="auto"/>
              <w:left w:val="single" w:sz="4" w:space="0" w:color="auto"/>
              <w:bottom w:val="single" w:sz="4" w:space="0" w:color="auto"/>
              <w:right w:val="single" w:sz="4" w:space="0" w:color="auto"/>
            </w:tcBorders>
          </w:tcPr>
          <w:p w14:paraId="0223222D" w14:textId="1DBB5AA2" w:rsidR="00EB794F" w:rsidRPr="00A269F9" w:rsidRDefault="00EB794F" w:rsidP="00EB794F">
            <w:pPr>
              <w:jc w:val="center"/>
              <w:rPr>
                <w:rFonts w:asciiTheme="minorHAnsi" w:hAnsiTheme="minorHAnsi" w:cstheme="minorHAnsi"/>
                <w:sz w:val="20"/>
              </w:rPr>
            </w:pPr>
            <w:r w:rsidRPr="00A269F9">
              <w:rPr>
                <w:rFonts w:asciiTheme="minorHAnsi" w:hAnsiTheme="minorHAnsi" w:cstheme="minorHAnsi"/>
                <w:sz w:val="20"/>
              </w:rPr>
              <w:t>£5,600</w:t>
            </w:r>
          </w:p>
        </w:tc>
        <w:tc>
          <w:tcPr>
            <w:tcW w:w="1998" w:type="dxa"/>
            <w:tcBorders>
              <w:top w:val="single" w:sz="4" w:space="0" w:color="auto"/>
              <w:left w:val="single" w:sz="4" w:space="0" w:color="auto"/>
              <w:bottom w:val="single" w:sz="4" w:space="0" w:color="auto"/>
              <w:right w:val="single" w:sz="4" w:space="0" w:color="auto"/>
            </w:tcBorders>
          </w:tcPr>
          <w:p w14:paraId="427B23C6" w14:textId="0E9AFD77" w:rsidR="00EB794F" w:rsidRPr="00C844C6" w:rsidRDefault="00EB794F" w:rsidP="00EB794F">
            <w:pPr>
              <w:jc w:val="center"/>
              <w:rPr>
                <w:rFonts w:asciiTheme="minorHAnsi" w:hAnsiTheme="minorHAnsi" w:cstheme="minorHAnsi"/>
                <w:sz w:val="20"/>
                <w:highlight w:val="yellow"/>
              </w:rPr>
            </w:pPr>
            <w:r w:rsidRPr="00C844C6">
              <w:rPr>
                <w:rFonts w:asciiTheme="minorHAnsi" w:hAnsiTheme="minorHAnsi" w:cstheme="minorHAnsi"/>
                <w:sz w:val="20"/>
                <w:highlight w:val="yellow"/>
              </w:rPr>
              <w:t>£5</w:t>
            </w:r>
            <w:r w:rsidR="005150CD" w:rsidRPr="00C844C6">
              <w:rPr>
                <w:rFonts w:asciiTheme="minorHAnsi" w:hAnsiTheme="minorHAnsi" w:cstheme="minorHAnsi"/>
                <w:sz w:val="20"/>
                <w:highlight w:val="yellow"/>
              </w:rPr>
              <w:t>,</w:t>
            </w:r>
            <w:r w:rsidRPr="00C844C6">
              <w:rPr>
                <w:rFonts w:asciiTheme="minorHAnsi" w:hAnsiTheme="minorHAnsi" w:cstheme="minorHAnsi"/>
                <w:sz w:val="20"/>
                <w:highlight w:val="yellow"/>
              </w:rPr>
              <w:t>600</w:t>
            </w:r>
          </w:p>
        </w:tc>
      </w:tr>
      <w:tr w:rsidR="00EB794F" w:rsidRPr="002E1CDA" w14:paraId="07D741FC" w14:textId="77777777" w:rsidTr="00A269F9">
        <w:trPr>
          <w:trHeight w:val="507"/>
        </w:trPr>
        <w:tc>
          <w:tcPr>
            <w:tcW w:w="5665" w:type="dxa"/>
            <w:tcBorders>
              <w:top w:val="single" w:sz="4" w:space="0" w:color="auto"/>
              <w:left w:val="single" w:sz="4" w:space="0" w:color="auto"/>
              <w:bottom w:val="single" w:sz="4" w:space="0" w:color="auto"/>
              <w:right w:val="single" w:sz="4" w:space="0" w:color="auto"/>
            </w:tcBorders>
            <w:vAlign w:val="center"/>
          </w:tcPr>
          <w:p w14:paraId="7F64DFD1" w14:textId="77777777" w:rsidR="00EB794F" w:rsidRPr="002E1CDA" w:rsidRDefault="00EB794F" w:rsidP="00EB794F">
            <w:pPr>
              <w:rPr>
                <w:rFonts w:asciiTheme="minorHAnsi" w:hAnsiTheme="minorHAnsi" w:cstheme="minorHAnsi"/>
                <w:sz w:val="20"/>
              </w:rPr>
            </w:pPr>
            <w:r w:rsidRPr="002E1CDA">
              <w:rPr>
                <w:rFonts w:asciiTheme="minorHAnsi" w:hAnsiTheme="minorHAnsi" w:cstheme="minorHAnsi"/>
                <w:sz w:val="20"/>
              </w:rPr>
              <w:t>Foundation Degree Dental Technology (3 year) - Year 2</w:t>
            </w:r>
          </w:p>
        </w:tc>
        <w:tc>
          <w:tcPr>
            <w:tcW w:w="2127" w:type="dxa"/>
            <w:tcBorders>
              <w:top w:val="single" w:sz="4" w:space="0" w:color="auto"/>
              <w:left w:val="single" w:sz="4" w:space="0" w:color="auto"/>
              <w:bottom w:val="single" w:sz="4" w:space="0" w:color="auto"/>
              <w:right w:val="single" w:sz="4" w:space="0" w:color="auto"/>
            </w:tcBorders>
          </w:tcPr>
          <w:p w14:paraId="7A1CC082" w14:textId="3790B924" w:rsidR="00EB794F" w:rsidRPr="00A269F9" w:rsidRDefault="00EB794F" w:rsidP="00EB794F">
            <w:pPr>
              <w:jc w:val="center"/>
              <w:rPr>
                <w:rFonts w:asciiTheme="minorHAnsi" w:hAnsiTheme="minorHAnsi" w:cstheme="minorHAnsi"/>
                <w:sz w:val="20"/>
              </w:rPr>
            </w:pPr>
            <w:r w:rsidRPr="00A269F9">
              <w:rPr>
                <w:rFonts w:asciiTheme="minorHAnsi" w:hAnsiTheme="minorHAnsi" w:cstheme="minorHAnsi"/>
                <w:sz w:val="20"/>
              </w:rPr>
              <w:t>£5,607</w:t>
            </w:r>
          </w:p>
        </w:tc>
        <w:tc>
          <w:tcPr>
            <w:tcW w:w="1998" w:type="dxa"/>
            <w:tcBorders>
              <w:top w:val="single" w:sz="4" w:space="0" w:color="auto"/>
              <w:left w:val="single" w:sz="4" w:space="0" w:color="auto"/>
              <w:bottom w:val="single" w:sz="4" w:space="0" w:color="auto"/>
              <w:right w:val="single" w:sz="4" w:space="0" w:color="auto"/>
            </w:tcBorders>
          </w:tcPr>
          <w:p w14:paraId="6C9E16A2" w14:textId="2D838E33" w:rsidR="00EB794F" w:rsidRPr="00C844C6" w:rsidRDefault="00EB794F" w:rsidP="00EB794F">
            <w:pPr>
              <w:jc w:val="center"/>
              <w:rPr>
                <w:rFonts w:asciiTheme="minorHAnsi" w:hAnsiTheme="minorHAnsi" w:cstheme="minorHAnsi"/>
                <w:sz w:val="20"/>
                <w:highlight w:val="yellow"/>
              </w:rPr>
            </w:pPr>
            <w:r w:rsidRPr="00C844C6">
              <w:rPr>
                <w:rFonts w:asciiTheme="minorHAnsi" w:hAnsiTheme="minorHAnsi" w:cstheme="minorHAnsi"/>
                <w:sz w:val="20"/>
                <w:highlight w:val="yellow"/>
              </w:rPr>
              <w:t>£5</w:t>
            </w:r>
            <w:r w:rsidR="005150CD" w:rsidRPr="00C844C6">
              <w:rPr>
                <w:rFonts w:asciiTheme="minorHAnsi" w:hAnsiTheme="minorHAnsi" w:cstheme="minorHAnsi"/>
                <w:sz w:val="20"/>
                <w:highlight w:val="yellow"/>
              </w:rPr>
              <w:t>,</w:t>
            </w:r>
            <w:r w:rsidRPr="00C844C6">
              <w:rPr>
                <w:rFonts w:asciiTheme="minorHAnsi" w:hAnsiTheme="minorHAnsi" w:cstheme="minorHAnsi"/>
                <w:sz w:val="20"/>
                <w:highlight w:val="yellow"/>
              </w:rPr>
              <w:t>600</w:t>
            </w:r>
          </w:p>
        </w:tc>
      </w:tr>
      <w:tr w:rsidR="00EB794F" w:rsidRPr="002E1CDA" w14:paraId="13727368" w14:textId="77777777" w:rsidTr="00A269F9">
        <w:trPr>
          <w:trHeight w:val="507"/>
        </w:trPr>
        <w:tc>
          <w:tcPr>
            <w:tcW w:w="5665" w:type="dxa"/>
            <w:tcBorders>
              <w:top w:val="single" w:sz="4" w:space="0" w:color="auto"/>
              <w:left w:val="single" w:sz="4" w:space="0" w:color="auto"/>
              <w:bottom w:val="single" w:sz="4" w:space="0" w:color="auto"/>
              <w:right w:val="single" w:sz="4" w:space="0" w:color="auto"/>
            </w:tcBorders>
            <w:vAlign w:val="center"/>
          </w:tcPr>
          <w:p w14:paraId="680B2135" w14:textId="77777777" w:rsidR="00EB794F" w:rsidRPr="002E1CDA" w:rsidRDefault="00EB794F" w:rsidP="00EB794F">
            <w:pPr>
              <w:rPr>
                <w:rFonts w:asciiTheme="minorHAnsi" w:hAnsiTheme="minorHAnsi" w:cstheme="minorHAnsi"/>
                <w:sz w:val="20"/>
              </w:rPr>
            </w:pPr>
            <w:r w:rsidRPr="002E1CDA">
              <w:rPr>
                <w:rFonts w:asciiTheme="minorHAnsi" w:hAnsiTheme="minorHAnsi" w:cstheme="minorHAnsi"/>
                <w:sz w:val="20"/>
              </w:rPr>
              <w:t>Foundation Degree Dental Technology (3 year) - Year 3</w:t>
            </w:r>
          </w:p>
        </w:tc>
        <w:tc>
          <w:tcPr>
            <w:tcW w:w="2127" w:type="dxa"/>
            <w:tcBorders>
              <w:top w:val="single" w:sz="4" w:space="0" w:color="auto"/>
              <w:left w:val="single" w:sz="4" w:space="0" w:color="auto"/>
              <w:bottom w:val="single" w:sz="4" w:space="0" w:color="auto"/>
              <w:right w:val="single" w:sz="4" w:space="0" w:color="auto"/>
            </w:tcBorders>
          </w:tcPr>
          <w:p w14:paraId="4B0DAE6B" w14:textId="461B6E13" w:rsidR="00EB794F" w:rsidRPr="00A269F9" w:rsidRDefault="00EB794F" w:rsidP="00EB794F">
            <w:pPr>
              <w:jc w:val="center"/>
              <w:rPr>
                <w:rFonts w:asciiTheme="minorHAnsi" w:hAnsiTheme="minorHAnsi" w:cstheme="minorHAnsi"/>
                <w:sz w:val="20"/>
              </w:rPr>
            </w:pPr>
            <w:r w:rsidRPr="00A269F9">
              <w:rPr>
                <w:rFonts w:asciiTheme="minorHAnsi" w:hAnsiTheme="minorHAnsi" w:cstheme="minorHAnsi"/>
                <w:sz w:val="20"/>
              </w:rPr>
              <w:t>£5,519</w:t>
            </w:r>
          </w:p>
        </w:tc>
        <w:tc>
          <w:tcPr>
            <w:tcW w:w="1998" w:type="dxa"/>
            <w:tcBorders>
              <w:top w:val="single" w:sz="4" w:space="0" w:color="auto"/>
              <w:left w:val="single" w:sz="4" w:space="0" w:color="auto"/>
              <w:bottom w:val="single" w:sz="4" w:space="0" w:color="auto"/>
              <w:right w:val="single" w:sz="4" w:space="0" w:color="auto"/>
            </w:tcBorders>
          </w:tcPr>
          <w:p w14:paraId="13328058" w14:textId="2AF30EF9" w:rsidR="00EB794F" w:rsidRPr="00C844C6" w:rsidRDefault="00EB794F" w:rsidP="00EB794F">
            <w:pPr>
              <w:jc w:val="center"/>
              <w:rPr>
                <w:rFonts w:asciiTheme="minorHAnsi" w:hAnsiTheme="minorHAnsi" w:cstheme="minorHAnsi"/>
                <w:sz w:val="20"/>
                <w:highlight w:val="yellow"/>
              </w:rPr>
            </w:pPr>
            <w:r w:rsidRPr="00C844C6">
              <w:rPr>
                <w:rFonts w:asciiTheme="minorHAnsi" w:hAnsiTheme="minorHAnsi" w:cstheme="minorHAnsi"/>
                <w:sz w:val="20"/>
                <w:highlight w:val="yellow"/>
              </w:rPr>
              <w:t>£5</w:t>
            </w:r>
            <w:r w:rsidR="005150CD" w:rsidRPr="00C844C6">
              <w:rPr>
                <w:rFonts w:asciiTheme="minorHAnsi" w:hAnsiTheme="minorHAnsi" w:cstheme="minorHAnsi"/>
                <w:sz w:val="20"/>
                <w:highlight w:val="yellow"/>
              </w:rPr>
              <w:t>,</w:t>
            </w:r>
            <w:r w:rsidRPr="00C844C6">
              <w:rPr>
                <w:rFonts w:asciiTheme="minorHAnsi" w:hAnsiTheme="minorHAnsi" w:cstheme="minorHAnsi"/>
                <w:sz w:val="20"/>
                <w:highlight w:val="yellow"/>
              </w:rPr>
              <w:t>607</w:t>
            </w:r>
          </w:p>
        </w:tc>
      </w:tr>
      <w:tr w:rsidR="00EB794F" w:rsidRPr="002E1CDA" w14:paraId="61CD8E5D" w14:textId="77777777" w:rsidTr="00A269F9">
        <w:trPr>
          <w:trHeight w:val="422"/>
        </w:trPr>
        <w:tc>
          <w:tcPr>
            <w:tcW w:w="5665" w:type="dxa"/>
            <w:tcBorders>
              <w:top w:val="single" w:sz="4" w:space="0" w:color="auto"/>
              <w:left w:val="single" w:sz="4" w:space="0" w:color="auto"/>
              <w:bottom w:val="single" w:sz="4" w:space="0" w:color="auto"/>
              <w:right w:val="single" w:sz="4" w:space="0" w:color="auto"/>
            </w:tcBorders>
            <w:vAlign w:val="center"/>
          </w:tcPr>
          <w:p w14:paraId="28C2228B" w14:textId="56FF8DB0" w:rsidR="00EB794F" w:rsidRPr="002E1CDA" w:rsidRDefault="00EB794F" w:rsidP="00EB794F">
            <w:pPr>
              <w:rPr>
                <w:rFonts w:asciiTheme="minorHAnsi" w:hAnsiTheme="minorHAnsi" w:cstheme="minorHAnsi"/>
                <w:sz w:val="20"/>
              </w:rPr>
            </w:pPr>
            <w:r w:rsidRPr="002E1CDA">
              <w:rPr>
                <w:rFonts w:asciiTheme="minorHAnsi" w:hAnsiTheme="minorHAnsi" w:cstheme="minorHAnsi"/>
                <w:sz w:val="20"/>
              </w:rPr>
              <w:t xml:space="preserve">HNC (2 year) - Year 1 </w:t>
            </w:r>
          </w:p>
        </w:tc>
        <w:tc>
          <w:tcPr>
            <w:tcW w:w="2127" w:type="dxa"/>
            <w:tcBorders>
              <w:top w:val="single" w:sz="4" w:space="0" w:color="auto"/>
              <w:left w:val="single" w:sz="4" w:space="0" w:color="auto"/>
              <w:bottom w:val="single" w:sz="4" w:space="0" w:color="auto"/>
              <w:right w:val="single" w:sz="4" w:space="0" w:color="auto"/>
            </w:tcBorders>
          </w:tcPr>
          <w:p w14:paraId="255A9A22" w14:textId="77777777" w:rsidR="00EB794F" w:rsidRPr="00A269F9" w:rsidRDefault="00EB794F" w:rsidP="00EB794F">
            <w:pPr>
              <w:jc w:val="center"/>
              <w:rPr>
                <w:rFonts w:asciiTheme="minorHAnsi" w:hAnsiTheme="minorHAnsi" w:cstheme="minorHAnsi"/>
                <w:sz w:val="20"/>
              </w:rPr>
            </w:pPr>
            <w:r w:rsidRPr="00A269F9">
              <w:rPr>
                <w:rFonts w:asciiTheme="minorHAnsi" w:hAnsiTheme="minorHAnsi" w:cstheme="minorHAnsi"/>
                <w:sz w:val="20"/>
              </w:rPr>
              <w:t>£3,350</w:t>
            </w:r>
          </w:p>
          <w:p w14:paraId="464105F0" w14:textId="1FD7CBEB" w:rsidR="00EB794F" w:rsidRPr="00A269F9" w:rsidRDefault="00EB794F" w:rsidP="00EB794F">
            <w:pPr>
              <w:jc w:val="center"/>
              <w:rPr>
                <w:rFonts w:asciiTheme="minorHAnsi" w:hAnsiTheme="minorHAnsi" w:cstheme="minorHAnsi"/>
                <w:sz w:val="20"/>
              </w:rPr>
            </w:pPr>
            <w:r w:rsidRPr="00A269F9">
              <w:rPr>
                <w:rFonts w:asciiTheme="minorHAnsi" w:hAnsiTheme="minorHAnsi" w:cstheme="minorHAnsi"/>
                <w:sz w:val="20"/>
              </w:rPr>
              <w:t>(except £3,700 for C&amp;E*)</w:t>
            </w:r>
          </w:p>
        </w:tc>
        <w:tc>
          <w:tcPr>
            <w:tcW w:w="1998" w:type="dxa"/>
            <w:tcBorders>
              <w:top w:val="single" w:sz="4" w:space="0" w:color="auto"/>
              <w:left w:val="single" w:sz="4" w:space="0" w:color="auto"/>
              <w:bottom w:val="single" w:sz="4" w:space="0" w:color="auto"/>
              <w:right w:val="single" w:sz="4" w:space="0" w:color="auto"/>
            </w:tcBorders>
          </w:tcPr>
          <w:p w14:paraId="7D15A9F0" w14:textId="77777777" w:rsidR="00EB794F" w:rsidRPr="00C844C6" w:rsidRDefault="00EB794F" w:rsidP="00EB794F">
            <w:pPr>
              <w:jc w:val="center"/>
              <w:rPr>
                <w:rFonts w:asciiTheme="minorHAnsi" w:hAnsiTheme="minorHAnsi" w:cstheme="minorHAnsi"/>
                <w:sz w:val="20"/>
                <w:highlight w:val="yellow"/>
              </w:rPr>
            </w:pPr>
            <w:r w:rsidRPr="00C844C6">
              <w:rPr>
                <w:rFonts w:asciiTheme="minorHAnsi" w:hAnsiTheme="minorHAnsi" w:cstheme="minorHAnsi"/>
                <w:sz w:val="20"/>
                <w:highlight w:val="yellow"/>
              </w:rPr>
              <w:t>£3,350</w:t>
            </w:r>
          </w:p>
          <w:p w14:paraId="228EF805" w14:textId="43254ADB" w:rsidR="00EB794F" w:rsidRPr="00C844C6" w:rsidRDefault="00EB794F" w:rsidP="00EB794F">
            <w:pPr>
              <w:jc w:val="center"/>
              <w:rPr>
                <w:rFonts w:asciiTheme="minorHAnsi" w:hAnsiTheme="minorHAnsi" w:cstheme="minorHAnsi"/>
                <w:sz w:val="20"/>
                <w:highlight w:val="yellow"/>
              </w:rPr>
            </w:pPr>
            <w:r w:rsidRPr="00C844C6">
              <w:rPr>
                <w:rFonts w:asciiTheme="minorHAnsi" w:hAnsiTheme="minorHAnsi" w:cstheme="minorHAnsi"/>
                <w:sz w:val="20"/>
                <w:highlight w:val="yellow"/>
              </w:rPr>
              <w:t>(except £3,700 for C&amp;E*)</w:t>
            </w:r>
          </w:p>
        </w:tc>
      </w:tr>
      <w:tr w:rsidR="00EB794F" w:rsidRPr="002E1CDA" w14:paraId="52D0B222" w14:textId="77777777" w:rsidTr="00A269F9">
        <w:trPr>
          <w:trHeight w:val="245"/>
        </w:trPr>
        <w:tc>
          <w:tcPr>
            <w:tcW w:w="5665" w:type="dxa"/>
            <w:tcBorders>
              <w:top w:val="single" w:sz="4" w:space="0" w:color="auto"/>
              <w:left w:val="single" w:sz="4" w:space="0" w:color="auto"/>
              <w:bottom w:val="single" w:sz="4" w:space="0" w:color="auto"/>
              <w:right w:val="single" w:sz="4" w:space="0" w:color="auto"/>
            </w:tcBorders>
            <w:vAlign w:val="center"/>
          </w:tcPr>
          <w:p w14:paraId="25DB689E" w14:textId="189FB648" w:rsidR="00EB794F" w:rsidRPr="002E1CDA" w:rsidRDefault="00EB794F" w:rsidP="00EB794F">
            <w:pPr>
              <w:rPr>
                <w:rFonts w:asciiTheme="minorHAnsi" w:hAnsiTheme="minorHAnsi" w:cstheme="minorHAnsi"/>
                <w:sz w:val="20"/>
              </w:rPr>
            </w:pPr>
            <w:r w:rsidRPr="002E1CDA">
              <w:rPr>
                <w:rFonts w:asciiTheme="minorHAnsi" w:hAnsiTheme="minorHAnsi" w:cstheme="minorHAnsi"/>
                <w:sz w:val="20"/>
              </w:rPr>
              <w:t xml:space="preserve">HNC (2 year) - Year 2 </w:t>
            </w:r>
          </w:p>
        </w:tc>
        <w:tc>
          <w:tcPr>
            <w:tcW w:w="2127" w:type="dxa"/>
            <w:tcBorders>
              <w:top w:val="single" w:sz="4" w:space="0" w:color="auto"/>
              <w:left w:val="single" w:sz="4" w:space="0" w:color="auto"/>
              <w:bottom w:val="single" w:sz="4" w:space="0" w:color="auto"/>
              <w:right w:val="single" w:sz="4" w:space="0" w:color="auto"/>
            </w:tcBorders>
          </w:tcPr>
          <w:p w14:paraId="34B6A760" w14:textId="77777777" w:rsidR="00EB794F" w:rsidRPr="00A269F9" w:rsidRDefault="00EB794F" w:rsidP="00EB794F">
            <w:pPr>
              <w:jc w:val="center"/>
              <w:rPr>
                <w:rFonts w:asciiTheme="minorHAnsi" w:hAnsiTheme="minorHAnsi" w:cstheme="minorHAnsi"/>
                <w:sz w:val="20"/>
              </w:rPr>
            </w:pPr>
            <w:r w:rsidRPr="00A269F9">
              <w:rPr>
                <w:rFonts w:asciiTheme="minorHAnsi" w:hAnsiTheme="minorHAnsi" w:cstheme="minorHAnsi"/>
                <w:sz w:val="20"/>
              </w:rPr>
              <w:t>£3,338</w:t>
            </w:r>
          </w:p>
          <w:p w14:paraId="785150CB" w14:textId="5E3FDFC5" w:rsidR="00EB794F" w:rsidRPr="00A269F9" w:rsidRDefault="00EB794F" w:rsidP="00EB794F">
            <w:pPr>
              <w:jc w:val="center"/>
              <w:rPr>
                <w:rFonts w:asciiTheme="minorHAnsi" w:hAnsiTheme="minorHAnsi" w:cstheme="minorHAnsi"/>
                <w:sz w:val="20"/>
              </w:rPr>
            </w:pPr>
            <w:r w:rsidRPr="00A269F9">
              <w:rPr>
                <w:rFonts w:asciiTheme="minorHAnsi" w:hAnsiTheme="minorHAnsi" w:cstheme="minorHAnsi"/>
                <w:sz w:val="20"/>
              </w:rPr>
              <w:t>(except £3,698 for C&amp;E*)</w:t>
            </w:r>
          </w:p>
        </w:tc>
        <w:tc>
          <w:tcPr>
            <w:tcW w:w="1998" w:type="dxa"/>
            <w:tcBorders>
              <w:top w:val="single" w:sz="4" w:space="0" w:color="auto"/>
              <w:left w:val="single" w:sz="4" w:space="0" w:color="auto"/>
              <w:bottom w:val="single" w:sz="4" w:space="0" w:color="auto"/>
              <w:right w:val="single" w:sz="4" w:space="0" w:color="auto"/>
            </w:tcBorders>
          </w:tcPr>
          <w:p w14:paraId="39A200D8" w14:textId="77777777" w:rsidR="00EB794F" w:rsidRPr="00C844C6" w:rsidRDefault="00EB794F" w:rsidP="00EB794F">
            <w:pPr>
              <w:jc w:val="center"/>
              <w:rPr>
                <w:rFonts w:asciiTheme="minorHAnsi" w:hAnsiTheme="minorHAnsi" w:cstheme="minorHAnsi"/>
                <w:sz w:val="20"/>
                <w:highlight w:val="yellow"/>
              </w:rPr>
            </w:pPr>
            <w:r w:rsidRPr="00C844C6">
              <w:rPr>
                <w:rFonts w:asciiTheme="minorHAnsi" w:hAnsiTheme="minorHAnsi" w:cstheme="minorHAnsi"/>
                <w:sz w:val="20"/>
                <w:highlight w:val="yellow"/>
              </w:rPr>
              <w:t>£3,350</w:t>
            </w:r>
          </w:p>
          <w:p w14:paraId="2E0D6461" w14:textId="17074400" w:rsidR="00EB794F" w:rsidRPr="00C844C6" w:rsidRDefault="00EB794F" w:rsidP="00EB794F">
            <w:pPr>
              <w:jc w:val="center"/>
              <w:rPr>
                <w:rFonts w:asciiTheme="minorHAnsi" w:hAnsiTheme="minorHAnsi" w:cstheme="minorHAnsi"/>
                <w:sz w:val="20"/>
                <w:highlight w:val="yellow"/>
              </w:rPr>
            </w:pPr>
            <w:r w:rsidRPr="00C844C6">
              <w:rPr>
                <w:rFonts w:asciiTheme="minorHAnsi" w:hAnsiTheme="minorHAnsi" w:cstheme="minorHAnsi"/>
                <w:sz w:val="20"/>
                <w:highlight w:val="yellow"/>
              </w:rPr>
              <w:t>(except £3,700 for C&amp;E*)</w:t>
            </w:r>
          </w:p>
        </w:tc>
      </w:tr>
      <w:tr w:rsidR="008E0F20" w:rsidRPr="002E1CDA" w14:paraId="2ABD2AF6" w14:textId="77777777" w:rsidTr="00A269F9">
        <w:trPr>
          <w:trHeight w:val="783"/>
        </w:trPr>
        <w:tc>
          <w:tcPr>
            <w:tcW w:w="5665" w:type="dxa"/>
            <w:tcBorders>
              <w:top w:val="single" w:sz="4" w:space="0" w:color="auto"/>
              <w:left w:val="single" w:sz="4" w:space="0" w:color="auto"/>
              <w:bottom w:val="single" w:sz="4" w:space="0" w:color="auto"/>
              <w:right w:val="single" w:sz="4" w:space="0" w:color="auto"/>
            </w:tcBorders>
            <w:vAlign w:val="center"/>
          </w:tcPr>
          <w:p w14:paraId="2B4E9479" w14:textId="0E50FA35" w:rsidR="008E0F20" w:rsidRPr="002E1CDA" w:rsidRDefault="008E0F20" w:rsidP="00466EF5">
            <w:pPr>
              <w:jc w:val="both"/>
              <w:rPr>
                <w:rFonts w:asciiTheme="minorHAnsi" w:hAnsiTheme="minorHAnsi" w:cstheme="minorHAnsi"/>
                <w:sz w:val="20"/>
              </w:rPr>
            </w:pPr>
            <w:r w:rsidRPr="002E1CDA">
              <w:rPr>
                <w:rFonts w:asciiTheme="minorHAnsi" w:hAnsiTheme="minorHAnsi" w:cstheme="minorHAnsi"/>
                <w:sz w:val="20"/>
              </w:rPr>
              <w:t>BA/BSc Top up (2 years) PT – Year 1</w:t>
            </w:r>
          </w:p>
        </w:tc>
        <w:tc>
          <w:tcPr>
            <w:tcW w:w="2127" w:type="dxa"/>
            <w:tcBorders>
              <w:top w:val="single" w:sz="4" w:space="0" w:color="auto"/>
              <w:left w:val="single" w:sz="4" w:space="0" w:color="auto"/>
              <w:bottom w:val="single" w:sz="4" w:space="0" w:color="auto"/>
              <w:right w:val="single" w:sz="4" w:space="0" w:color="auto"/>
            </w:tcBorders>
          </w:tcPr>
          <w:p w14:paraId="0E1689A5" w14:textId="101DBEFA" w:rsidR="008E0F20" w:rsidRPr="00A269F9" w:rsidRDefault="008E0F20" w:rsidP="00466EF5">
            <w:pPr>
              <w:jc w:val="center"/>
              <w:rPr>
                <w:rFonts w:asciiTheme="minorHAnsi" w:hAnsiTheme="minorHAnsi" w:cstheme="minorHAnsi"/>
                <w:sz w:val="20"/>
              </w:rPr>
            </w:pPr>
            <w:r w:rsidRPr="00A269F9">
              <w:rPr>
                <w:rFonts w:asciiTheme="minorHAnsi" w:hAnsiTheme="minorHAnsi" w:cstheme="minorHAnsi"/>
                <w:sz w:val="20"/>
              </w:rPr>
              <w:t>£4,200</w:t>
            </w:r>
          </w:p>
        </w:tc>
        <w:tc>
          <w:tcPr>
            <w:tcW w:w="1998" w:type="dxa"/>
            <w:tcBorders>
              <w:top w:val="single" w:sz="4" w:space="0" w:color="auto"/>
              <w:left w:val="single" w:sz="4" w:space="0" w:color="auto"/>
              <w:bottom w:val="single" w:sz="4" w:space="0" w:color="auto"/>
              <w:right w:val="single" w:sz="4" w:space="0" w:color="auto"/>
            </w:tcBorders>
          </w:tcPr>
          <w:p w14:paraId="2842EE50" w14:textId="60343790" w:rsidR="008E0F20" w:rsidRPr="00C844C6" w:rsidRDefault="008E0F20" w:rsidP="00466EF5">
            <w:pPr>
              <w:jc w:val="center"/>
              <w:rPr>
                <w:rFonts w:asciiTheme="minorHAnsi" w:hAnsiTheme="minorHAnsi" w:cstheme="minorHAnsi"/>
                <w:sz w:val="20"/>
                <w:highlight w:val="yellow"/>
              </w:rPr>
            </w:pPr>
            <w:r w:rsidRPr="00C844C6">
              <w:rPr>
                <w:rFonts w:asciiTheme="minorHAnsi" w:hAnsiTheme="minorHAnsi" w:cstheme="minorHAnsi"/>
                <w:sz w:val="20"/>
                <w:highlight w:val="yellow"/>
              </w:rPr>
              <w:t>£4,200</w:t>
            </w:r>
          </w:p>
        </w:tc>
      </w:tr>
      <w:tr w:rsidR="008E0F20" w:rsidRPr="002E1CDA" w14:paraId="631BF493" w14:textId="77777777" w:rsidTr="00A269F9">
        <w:trPr>
          <w:trHeight w:val="769"/>
        </w:trPr>
        <w:tc>
          <w:tcPr>
            <w:tcW w:w="5665" w:type="dxa"/>
            <w:tcBorders>
              <w:top w:val="single" w:sz="4" w:space="0" w:color="auto"/>
              <w:left w:val="single" w:sz="4" w:space="0" w:color="auto"/>
              <w:bottom w:val="single" w:sz="4" w:space="0" w:color="auto"/>
              <w:right w:val="single" w:sz="4" w:space="0" w:color="auto"/>
            </w:tcBorders>
            <w:vAlign w:val="center"/>
          </w:tcPr>
          <w:p w14:paraId="3625E62D" w14:textId="33D8B3F1" w:rsidR="008E0F20" w:rsidRPr="002E1CDA" w:rsidRDefault="008E0F20" w:rsidP="00466EF5">
            <w:pPr>
              <w:jc w:val="both"/>
              <w:rPr>
                <w:rFonts w:asciiTheme="minorHAnsi" w:hAnsiTheme="minorHAnsi" w:cstheme="minorHAnsi"/>
                <w:sz w:val="20"/>
              </w:rPr>
            </w:pPr>
            <w:r w:rsidRPr="002E1CDA">
              <w:rPr>
                <w:rFonts w:asciiTheme="minorHAnsi" w:hAnsiTheme="minorHAnsi" w:cstheme="minorHAnsi"/>
                <w:sz w:val="20"/>
              </w:rPr>
              <w:t>BA/BSc Top up (2 years) PT – Year 2</w:t>
            </w:r>
          </w:p>
        </w:tc>
        <w:tc>
          <w:tcPr>
            <w:tcW w:w="2127" w:type="dxa"/>
            <w:tcBorders>
              <w:top w:val="single" w:sz="4" w:space="0" w:color="auto"/>
              <w:left w:val="single" w:sz="4" w:space="0" w:color="auto"/>
              <w:bottom w:val="single" w:sz="4" w:space="0" w:color="auto"/>
              <w:right w:val="single" w:sz="4" w:space="0" w:color="auto"/>
            </w:tcBorders>
          </w:tcPr>
          <w:p w14:paraId="07276F58" w14:textId="7CCFEB89" w:rsidR="008E0F20" w:rsidRPr="00A269F9" w:rsidRDefault="008E0F20" w:rsidP="00466EF5">
            <w:pPr>
              <w:jc w:val="center"/>
              <w:rPr>
                <w:rFonts w:asciiTheme="minorHAnsi" w:hAnsiTheme="minorHAnsi" w:cstheme="minorHAnsi"/>
                <w:sz w:val="20"/>
              </w:rPr>
            </w:pPr>
            <w:r w:rsidRPr="00A269F9">
              <w:rPr>
                <w:rFonts w:asciiTheme="minorHAnsi" w:hAnsiTheme="minorHAnsi" w:cstheme="minorHAnsi"/>
                <w:sz w:val="20"/>
              </w:rPr>
              <w:t>£4,205</w:t>
            </w:r>
          </w:p>
        </w:tc>
        <w:tc>
          <w:tcPr>
            <w:tcW w:w="1998" w:type="dxa"/>
            <w:tcBorders>
              <w:top w:val="single" w:sz="4" w:space="0" w:color="auto"/>
              <w:left w:val="single" w:sz="4" w:space="0" w:color="auto"/>
              <w:bottom w:val="single" w:sz="4" w:space="0" w:color="auto"/>
              <w:right w:val="single" w:sz="4" w:space="0" w:color="auto"/>
            </w:tcBorders>
          </w:tcPr>
          <w:p w14:paraId="42236664" w14:textId="4F8BD54A" w:rsidR="008E0F20" w:rsidRPr="00C844C6" w:rsidRDefault="008E0F20" w:rsidP="00466EF5">
            <w:pPr>
              <w:jc w:val="center"/>
              <w:rPr>
                <w:rFonts w:asciiTheme="minorHAnsi" w:hAnsiTheme="minorHAnsi" w:cstheme="minorHAnsi"/>
                <w:sz w:val="20"/>
                <w:highlight w:val="yellow"/>
              </w:rPr>
            </w:pPr>
            <w:r w:rsidRPr="00C844C6">
              <w:rPr>
                <w:rFonts w:asciiTheme="minorHAnsi" w:hAnsiTheme="minorHAnsi" w:cstheme="minorHAnsi"/>
                <w:sz w:val="20"/>
                <w:highlight w:val="yellow"/>
              </w:rPr>
              <w:t>£4,200</w:t>
            </w:r>
          </w:p>
        </w:tc>
      </w:tr>
    </w:tbl>
    <w:p w14:paraId="476D976D" w14:textId="77777777" w:rsidR="00701B75" w:rsidRPr="002E1CDA" w:rsidRDefault="00701B75" w:rsidP="009607DB">
      <w:pPr>
        <w:jc w:val="both"/>
        <w:rPr>
          <w:rFonts w:asciiTheme="minorHAnsi" w:hAnsiTheme="minorHAnsi" w:cstheme="minorHAnsi"/>
          <w:sz w:val="20"/>
        </w:rPr>
      </w:pPr>
    </w:p>
    <w:p w14:paraId="30DA4E64" w14:textId="77777777" w:rsidR="00D128C4" w:rsidRPr="002E1CDA" w:rsidRDefault="00D128C4" w:rsidP="00D128C4">
      <w:pPr>
        <w:jc w:val="both"/>
        <w:rPr>
          <w:rFonts w:asciiTheme="minorHAnsi" w:hAnsiTheme="minorHAnsi" w:cstheme="minorHAnsi"/>
          <w:sz w:val="20"/>
        </w:rPr>
      </w:pPr>
      <w:r w:rsidRPr="002E1CDA">
        <w:rPr>
          <w:rFonts w:asciiTheme="minorHAnsi" w:hAnsiTheme="minorHAnsi" w:cstheme="minorHAnsi"/>
          <w:sz w:val="20"/>
        </w:rPr>
        <w:t xml:space="preserve">* C&amp;E is Construction and Engineering. The higher rate applies to all programmes in these subject areas only. </w:t>
      </w:r>
    </w:p>
    <w:p w14:paraId="41FE2A5E" w14:textId="77777777" w:rsidR="00D128C4" w:rsidRPr="002E1CDA" w:rsidRDefault="00D128C4" w:rsidP="00D128C4">
      <w:pPr>
        <w:jc w:val="both"/>
        <w:rPr>
          <w:rFonts w:asciiTheme="minorHAnsi" w:hAnsiTheme="minorHAnsi" w:cstheme="minorHAnsi"/>
          <w:sz w:val="20"/>
        </w:rPr>
      </w:pPr>
    </w:p>
    <w:p w14:paraId="4EAC4265" w14:textId="77777777" w:rsidR="00D128C4" w:rsidRPr="002E1CDA" w:rsidRDefault="00D128C4" w:rsidP="00D128C4">
      <w:pPr>
        <w:jc w:val="both"/>
        <w:rPr>
          <w:rFonts w:asciiTheme="minorHAnsi" w:hAnsiTheme="minorHAnsi" w:cstheme="minorHAnsi"/>
          <w:sz w:val="20"/>
        </w:rPr>
      </w:pPr>
      <w:r w:rsidRPr="002E1CDA">
        <w:rPr>
          <w:rFonts w:asciiTheme="minorHAnsi" w:hAnsiTheme="minorHAnsi" w:cstheme="minorHAnsi"/>
          <w:sz w:val="20"/>
        </w:rPr>
        <w:t>HE bursaries are offered subject to eligibility criteria.</w:t>
      </w:r>
    </w:p>
    <w:p w14:paraId="417C0C43" w14:textId="77777777" w:rsidR="00D128C4" w:rsidRPr="002E1CDA" w:rsidRDefault="00D128C4" w:rsidP="00D128C4">
      <w:pPr>
        <w:jc w:val="both"/>
        <w:rPr>
          <w:rFonts w:asciiTheme="minorHAnsi" w:hAnsiTheme="minorHAnsi" w:cstheme="minorHAnsi"/>
          <w:sz w:val="20"/>
        </w:rPr>
      </w:pPr>
    </w:p>
    <w:p w14:paraId="4EEF2B93" w14:textId="77777777" w:rsidR="00D128C4" w:rsidRPr="002E1CDA" w:rsidRDefault="00D128C4" w:rsidP="00D128C4">
      <w:pPr>
        <w:jc w:val="both"/>
        <w:rPr>
          <w:rFonts w:asciiTheme="minorHAnsi" w:hAnsiTheme="minorHAnsi" w:cstheme="minorHAnsi"/>
          <w:sz w:val="20"/>
        </w:rPr>
      </w:pPr>
      <w:r w:rsidRPr="002E1CDA">
        <w:rPr>
          <w:rFonts w:asciiTheme="minorHAnsi" w:hAnsiTheme="minorHAnsi" w:cstheme="minorHAnsi"/>
          <w:sz w:val="20"/>
        </w:rPr>
        <w:t>In future years we anticipate increasing the fees in line with the annual inflation level (capped at RPI All Items Excluding Mortgage Interest (RPIX)).</w:t>
      </w:r>
    </w:p>
    <w:p w14:paraId="486779F2" w14:textId="77777777" w:rsidR="00D128C4" w:rsidRPr="002E1CDA" w:rsidRDefault="00D128C4" w:rsidP="00D128C4">
      <w:pPr>
        <w:jc w:val="both"/>
        <w:rPr>
          <w:rFonts w:asciiTheme="minorHAnsi" w:hAnsiTheme="minorHAnsi" w:cstheme="minorHAnsi"/>
          <w:sz w:val="20"/>
        </w:rPr>
      </w:pPr>
    </w:p>
    <w:p w14:paraId="44BE270F" w14:textId="77777777" w:rsidR="00D128C4" w:rsidRPr="002E1CDA" w:rsidRDefault="00D128C4" w:rsidP="00D128C4">
      <w:pPr>
        <w:jc w:val="both"/>
        <w:rPr>
          <w:rFonts w:asciiTheme="minorHAnsi" w:hAnsiTheme="minorHAnsi" w:cstheme="minorHAnsi"/>
          <w:sz w:val="20"/>
        </w:rPr>
      </w:pPr>
      <w:r w:rsidRPr="002E1CDA">
        <w:rPr>
          <w:rFonts w:asciiTheme="minorHAnsi" w:hAnsiTheme="minorHAnsi" w:cstheme="minorHAnsi"/>
          <w:sz w:val="20"/>
        </w:rPr>
        <w:t>For EU students with settled or pre-settled status and Irish citizens, the rate is the same as the Home Fees. The College does not currently offer courses for international students, including those from Europe, who require a visa to study in the UK.</w:t>
      </w:r>
    </w:p>
    <w:p w14:paraId="6E0A9572" w14:textId="7A13FD6E" w:rsidR="00701B75" w:rsidRPr="002E1CDA" w:rsidRDefault="00701B75" w:rsidP="009607DB">
      <w:pPr>
        <w:jc w:val="both"/>
        <w:rPr>
          <w:rFonts w:asciiTheme="minorHAnsi" w:hAnsiTheme="minorHAnsi" w:cstheme="minorHAnsi"/>
          <w:sz w:val="20"/>
        </w:rPr>
      </w:pPr>
    </w:p>
    <w:p w14:paraId="11D22337" w14:textId="1313C8E0" w:rsidR="00610A12" w:rsidRDefault="009607DB" w:rsidP="00BF3B26">
      <w:pPr>
        <w:jc w:val="both"/>
        <w:rPr>
          <w:rFonts w:asciiTheme="minorHAnsi" w:hAnsiTheme="minorHAnsi" w:cstheme="minorHAnsi"/>
          <w:sz w:val="20"/>
        </w:rPr>
      </w:pPr>
      <w:r w:rsidRPr="002E1CDA">
        <w:rPr>
          <w:rFonts w:asciiTheme="minorHAnsi" w:hAnsiTheme="minorHAnsi" w:cstheme="minorHAnsi"/>
          <w:sz w:val="20"/>
        </w:rPr>
        <w:t>The College does not currently offer courses for international students outside the EU.  For students from within the EU, the rate is the same as the Home Fee</w:t>
      </w:r>
      <w:r w:rsidR="00A12821">
        <w:rPr>
          <w:rFonts w:asciiTheme="minorHAnsi" w:hAnsiTheme="minorHAnsi" w:cstheme="minorHAnsi"/>
          <w:sz w:val="20"/>
        </w:rPr>
        <w:t>.</w:t>
      </w:r>
      <w:r w:rsidRPr="002E1CDA">
        <w:rPr>
          <w:rFonts w:asciiTheme="minorHAnsi" w:hAnsiTheme="minorHAnsi" w:cstheme="minorHAnsi"/>
          <w:sz w:val="20"/>
        </w:rPr>
        <w:t xml:space="preserve"> </w:t>
      </w:r>
    </w:p>
    <w:p w14:paraId="6F43FBBD" w14:textId="77777777" w:rsidR="0014296E" w:rsidRPr="002E1CDA" w:rsidRDefault="0014296E" w:rsidP="00BF3B26">
      <w:pPr>
        <w:jc w:val="both"/>
        <w:rPr>
          <w:rFonts w:asciiTheme="minorHAnsi" w:hAnsiTheme="minorHAnsi" w:cstheme="minorHAnsi"/>
          <w:b/>
          <w:sz w:val="20"/>
        </w:rPr>
      </w:pPr>
    </w:p>
    <w:p w14:paraId="4DBA55A6" w14:textId="52D8DD84" w:rsidR="00D351FD" w:rsidRPr="005F2465" w:rsidRDefault="009607DB" w:rsidP="009607DB">
      <w:pPr>
        <w:jc w:val="both"/>
        <w:rPr>
          <w:rFonts w:asciiTheme="minorHAnsi" w:hAnsiTheme="minorHAnsi" w:cstheme="minorHAnsi"/>
          <w:b/>
          <w:sz w:val="20"/>
        </w:rPr>
      </w:pPr>
      <w:r w:rsidRPr="005F2465">
        <w:rPr>
          <w:rFonts w:asciiTheme="minorHAnsi" w:hAnsiTheme="minorHAnsi" w:cstheme="minorHAnsi"/>
          <w:b/>
          <w:sz w:val="20"/>
        </w:rPr>
        <w:t xml:space="preserve">Apprenticeship Provision </w:t>
      </w:r>
    </w:p>
    <w:p w14:paraId="50267DB7" w14:textId="77777777" w:rsidR="009607DB" w:rsidRPr="005F2465" w:rsidRDefault="009607DB" w:rsidP="009607DB">
      <w:pPr>
        <w:jc w:val="both"/>
        <w:rPr>
          <w:rFonts w:asciiTheme="minorHAnsi" w:hAnsiTheme="minorHAnsi" w:cstheme="minorHAnsi"/>
          <w:sz w:val="20"/>
        </w:rPr>
      </w:pPr>
    </w:p>
    <w:tbl>
      <w:tblPr>
        <w:tblStyle w:val="TableGrid"/>
        <w:tblW w:w="9493" w:type="dxa"/>
        <w:tblLook w:val="04A0" w:firstRow="1" w:lastRow="0" w:firstColumn="1" w:lastColumn="0" w:noHBand="0" w:noVBand="1"/>
      </w:tblPr>
      <w:tblGrid>
        <w:gridCol w:w="3224"/>
        <w:gridCol w:w="6269"/>
      </w:tblGrid>
      <w:tr w:rsidR="009607DB" w:rsidRPr="005F2465" w14:paraId="598BE616" w14:textId="77777777" w:rsidTr="009607DB">
        <w:tc>
          <w:tcPr>
            <w:tcW w:w="3224" w:type="dxa"/>
            <w:tcBorders>
              <w:top w:val="single" w:sz="4" w:space="0" w:color="auto"/>
              <w:left w:val="single" w:sz="4" w:space="0" w:color="auto"/>
              <w:bottom w:val="single" w:sz="4" w:space="0" w:color="auto"/>
              <w:right w:val="single" w:sz="4" w:space="0" w:color="auto"/>
            </w:tcBorders>
          </w:tcPr>
          <w:p w14:paraId="6FB1C1E6" w14:textId="77777777" w:rsidR="009607DB" w:rsidRPr="005F2465" w:rsidRDefault="009607DB">
            <w:pPr>
              <w:spacing w:line="256" w:lineRule="auto"/>
              <w:jc w:val="both"/>
              <w:rPr>
                <w:rFonts w:asciiTheme="minorHAnsi" w:hAnsiTheme="minorHAnsi" w:cstheme="minorHAnsi"/>
                <w:b/>
                <w:sz w:val="20"/>
              </w:rPr>
            </w:pPr>
          </w:p>
          <w:p w14:paraId="11688E64" w14:textId="77777777" w:rsidR="009607DB" w:rsidRPr="005F2465" w:rsidRDefault="009607DB">
            <w:pPr>
              <w:spacing w:line="256" w:lineRule="auto"/>
              <w:jc w:val="both"/>
              <w:rPr>
                <w:rFonts w:asciiTheme="minorHAnsi" w:hAnsiTheme="minorHAnsi" w:cstheme="minorHAnsi"/>
                <w:b/>
                <w:sz w:val="20"/>
              </w:rPr>
            </w:pPr>
          </w:p>
        </w:tc>
        <w:tc>
          <w:tcPr>
            <w:tcW w:w="6269" w:type="dxa"/>
            <w:tcBorders>
              <w:top w:val="single" w:sz="4" w:space="0" w:color="auto"/>
              <w:left w:val="single" w:sz="4" w:space="0" w:color="auto"/>
              <w:bottom w:val="single" w:sz="4" w:space="0" w:color="auto"/>
              <w:right w:val="single" w:sz="4" w:space="0" w:color="auto"/>
            </w:tcBorders>
          </w:tcPr>
          <w:p w14:paraId="732B534A" w14:textId="77777777" w:rsidR="009607DB" w:rsidRPr="005F2465" w:rsidRDefault="009607DB">
            <w:pPr>
              <w:spacing w:line="256" w:lineRule="auto"/>
              <w:jc w:val="both"/>
              <w:rPr>
                <w:rFonts w:asciiTheme="minorHAnsi" w:hAnsiTheme="minorHAnsi" w:cstheme="minorHAnsi"/>
                <w:b/>
                <w:sz w:val="20"/>
              </w:rPr>
            </w:pPr>
          </w:p>
          <w:p w14:paraId="60272A3A" w14:textId="169FC3FE" w:rsidR="009607DB" w:rsidRPr="005F2465" w:rsidRDefault="002B00AD">
            <w:pPr>
              <w:spacing w:line="256" w:lineRule="auto"/>
              <w:jc w:val="both"/>
              <w:rPr>
                <w:rFonts w:asciiTheme="minorHAnsi" w:hAnsiTheme="minorHAnsi" w:cstheme="minorHAnsi"/>
                <w:b/>
                <w:sz w:val="20"/>
              </w:rPr>
            </w:pPr>
            <w:r>
              <w:rPr>
                <w:rFonts w:asciiTheme="minorHAnsi" w:hAnsiTheme="minorHAnsi" w:cstheme="minorHAnsi"/>
                <w:b/>
                <w:sz w:val="20"/>
              </w:rPr>
              <w:t>2023/24</w:t>
            </w:r>
          </w:p>
        </w:tc>
      </w:tr>
      <w:tr w:rsidR="009607DB" w:rsidRPr="005F2465" w14:paraId="72328847" w14:textId="77777777" w:rsidTr="009607DB">
        <w:tc>
          <w:tcPr>
            <w:tcW w:w="3224" w:type="dxa"/>
            <w:tcBorders>
              <w:top w:val="single" w:sz="4" w:space="0" w:color="auto"/>
              <w:left w:val="single" w:sz="4" w:space="0" w:color="auto"/>
              <w:bottom w:val="single" w:sz="4" w:space="0" w:color="auto"/>
              <w:right w:val="single" w:sz="4" w:space="0" w:color="auto"/>
            </w:tcBorders>
            <w:hideMark/>
          </w:tcPr>
          <w:p w14:paraId="6706ACDC" w14:textId="77777777" w:rsidR="009607DB" w:rsidRPr="005F2465" w:rsidRDefault="009607DB">
            <w:pPr>
              <w:jc w:val="both"/>
              <w:rPr>
                <w:rFonts w:asciiTheme="minorHAnsi" w:hAnsiTheme="minorHAnsi" w:cstheme="minorHAnsi"/>
                <w:sz w:val="20"/>
              </w:rPr>
            </w:pPr>
            <w:r w:rsidRPr="005F2465">
              <w:rPr>
                <w:rFonts w:asciiTheme="minorHAnsi" w:hAnsiTheme="minorHAnsi" w:cstheme="minorHAnsi"/>
                <w:sz w:val="20"/>
              </w:rPr>
              <w:t>Employer Fees for Apprenticeships (non-levy paying employers)</w:t>
            </w:r>
          </w:p>
        </w:tc>
        <w:tc>
          <w:tcPr>
            <w:tcW w:w="6269" w:type="dxa"/>
            <w:tcBorders>
              <w:top w:val="single" w:sz="4" w:space="0" w:color="auto"/>
              <w:left w:val="single" w:sz="4" w:space="0" w:color="auto"/>
              <w:bottom w:val="single" w:sz="4" w:space="0" w:color="auto"/>
              <w:right w:val="single" w:sz="4" w:space="0" w:color="auto"/>
            </w:tcBorders>
            <w:hideMark/>
          </w:tcPr>
          <w:p w14:paraId="06227015" w14:textId="6E83996F" w:rsidR="009607DB" w:rsidRPr="005F2465" w:rsidRDefault="009607DB" w:rsidP="00774C38">
            <w:pPr>
              <w:spacing w:line="256" w:lineRule="auto"/>
              <w:jc w:val="both"/>
              <w:rPr>
                <w:rFonts w:asciiTheme="minorHAnsi" w:hAnsiTheme="minorHAnsi" w:cstheme="minorHAnsi"/>
                <w:sz w:val="20"/>
              </w:rPr>
            </w:pPr>
            <w:r w:rsidRPr="005F2465">
              <w:rPr>
                <w:rFonts w:asciiTheme="minorHAnsi" w:hAnsiTheme="minorHAnsi" w:cstheme="minorHAnsi"/>
                <w:sz w:val="20"/>
              </w:rPr>
              <w:t xml:space="preserve">Employers will be required to </w:t>
            </w:r>
            <w:r w:rsidR="00774C38" w:rsidRPr="005F2465">
              <w:rPr>
                <w:rFonts w:asciiTheme="minorHAnsi" w:hAnsiTheme="minorHAnsi" w:cstheme="minorHAnsi"/>
                <w:sz w:val="20"/>
              </w:rPr>
              <w:t>pay 5</w:t>
            </w:r>
            <w:r w:rsidRPr="005F2465">
              <w:rPr>
                <w:rFonts w:asciiTheme="minorHAnsi" w:hAnsiTheme="minorHAnsi" w:cstheme="minorHAnsi"/>
                <w:sz w:val="20"/>
              </w:rPr>
              <w:t>% of the cost of apprenticeship training with the go</w:t>
            </w:r>
            <w:r w:rsidR="00774C38" w:rsidRPr="005F2465">
              <w:rPr>
                <w:rFonts w:asciiTheme="minorHAnsi" w:hAnsiTheme="minorHAnsi" w:cstheme="minorHAnsi"/>
                <w:sz w:val="20"/>
              </w:rPr>
              <w:t>vernment paying the remaining 95</w:t>
            </w:r>
            <w:r w:rsidRPr="005F2465">
              <w:rPr>
                <w:rFonts w:asciiTheme="minorHAnsi" w:hAnsiTheme="minorHAnsi" w:cstheme="minorHAnsi"/>
                <w:sz w:val="20"/>
              </w:rPr>
              <w:t>%</w:t>
            </w:r>
          </w:p>
        </w:tc>
      </w:tr>
      <w:tr w:rsidR="009607DB" w:rsidRPr="005F2465" w14:paraId="2D436EC5" w14:textId="77777777" w:rsidTr="009607DB">
        <w:tc>
          <w:tcPr>
            <w:tcW w:w="3224" w:type="dxa"/>
            <w:tcBorders>
              <w:top w:val="single" w:sz="4" w:space="0" w:color="auto"/>
              <w:left w:val="single" w:sz="4" w:space="0" w:color="auto"/>
              <w:bottom w:val="single" w:sz="4" w:space="0" w:color="auto"/>
              <w:right w:val="single" w:sz="4" w:space="0" w:color="auto"/>
            </w:tcBorders>
            <w:hideMark/>
          </w:tcPr>
          <w:p w14:paraId="17A303E8" w14:textId="77777777" w:rsidR="009607DB" w:rsidRPr="005F2465" w:rsidRDefault="009607DB">
            <w:pPr>
              <w:jc w:val="both"/>
              <w:rPr>
                <w:rFonts w:asciiTheme="minorHAnsi" w:hAnsiTheme="minorHAnsi" w:cstheme="minorHAnsi"/>
                <w:sz w:val="20"/>
              </w:rPr>
            </w:pPr>
            <w:r w:rsidRPr="005F2465">
              <w:rPr>
                <w:rFonts w:asciiTheme="minorHAnsi" w:hAnsiTheme="minorHAnsi" w:cstheme="minorHAnsi"/>
                <w:sz w:val="20"/>
              </w:rPr>
              <w:t>Employer Fees for Apprenticeships (levy paying employers)</w:t>
            </w:r>
          </w:p>
        </w:tc>
        <w:tc>
          <w:tcPr>
            <w:tcW w:w="6269" w:type="dxa"/>
            <w:tcBorders>
              <w:top w:val="single" w:sz="4" w:space="0" w:color="auto"/>
              <w:left w:val="single" w:sz="4" w:space="0" w:color="auto"/>
              <w:bottom w:val="single" w:sz="4" w:space="0" w:color="auto"/>
              <w:right w:val="single" w:sz="4" w:space="0" w:color="auto"/>
            </w:tcBorders>
            <w:hideMark/>
          </w:tcPr>
          <w:p w14:paraId="63D99559" w14:textId="77777777" w:rsidR="009607DB" w:rsidRPr="005F2465" w:rsidRDefault="009607DB">
            <w:pPr>
              <w:jc w:val="both"/>
              <w:rPr>
                <w:rFonts w:asciiTheme="minorHAnsi" w:hAnsiTheme="minorHAnsi" w:cstheme="minorHAnsi"/>
                <w:sz w:val="20"/>
              </w:rPr>
            </w:pPr>
            <w:r w:rsidRPr="005F2465">
              <w:rPr>
                <w:rFonts w:asciiTheme="minorHAnsi" w:hAnsiTheme="minorHAnsi" w:cstheme="minorHAnsi"/>
                <w:sz w:val="20"/>
              </w:rPr>
              <w:t>Employers will be required to pay for the apprenticeship training from their apprenticeship service account</w:t>
            </w:r>
          </w:p>
        </w:tc>
      </w:tr>
      <w:tr w:rsidR="009607DB" w:rsidRPr="005F2465" w14:paraId="5DEBF18D" w14:textId="77777777" w:rsidTr="009607DB">
        <w:tc>
          <w:tcPr>
            <w:tcW w:w="3224" w:type="dxa"/>
            <w:tcBorders>
              <w:top w:val="single" w:sz="4" w:space="0" w:color="auto"/>
              <w:left w:val="single" w:sz="4" w:space="0" w:color="auto"/>
              <w:bottom w:val="single" w:sz="4" w:space="0" w:color="auto"/>
              <w:right w:val="single" w:sz="4" w:space="0" w:color="auto"/>
            </w:tcBorders>
            <w:hideMark/>
          </w:tcPr>
          <w:p w14:paraId="0EFD4393" w14:textId="77777777" w:rsidR="009607DB" w:rsidRPr="005F2465" w:rsidRDefault="009607DB">
            <w:pPr>
              <w:jc w:val="both"/>
              <w:rPr>
                <w:rFonts w:asciiTheme="minorHAnsi" w:hAnsiTheme="minorHAnsi" w:cstheme="minorHAnsi"/>
                <w:sz w:val="20"/>
              </w:rPr>
            </w:pPr>
            <w:r w:rsidRPr="005F2465">
              <w:rPr>
                <w:rFonts w:asciiTheme="minorHAnsi" w:hAnsiTheme="minorHAnsi" w:cstheme="minorHAnsi"/>
                <w:sz w:val="20"/>
              </w:rPr>
              <w:t>Employer Fees for Apprenticeships (levy paying employers) who do not have enough funds in their apprenticeship service account</w:t>
            </w:r>
          </w:p>
        </w:tc>
        <w:tc>
          <w:tcPr>
            <w:tcW w:w="6269" w:type="dxa"/>
            <w:tcBorders>
              <w:top w:val="single" w:sz="4" w:space="0" w:color="auto"/>
              <w:left w:val="single" w:sz="4" w:space="0" w:color="auto"/>
              <w:bottom w:val="single" w:sz="4" w:space="0" w:color="auto"/>
              <w:right w:val="single" w:sz="4" w:space="0" w:color="auto"/>
            </w:tcBorders>
            <w:hideMark/>
          </w:tcPr>
          <w:p w14:paraId="2516273C" w14:textId="230290F3" w:rsidR="009607DB" w:rsidRPr="005F2465" w:rsidRDefault="009607DB" w:rsidP="00774C38">
            <w:pPr>
              <w:jc w:val="both"/>
              <w:rPr>
                <w:rFonts w:asciiTheme="minorHAnsi" w:hAnsiTheme="minorHAnsi" w:cstheme="minorHAnsi"/>
                <w:sz w:val="20"/>
              </w:rPr>
            </w:pPr>
            <w:r w:rsidRPr="005F2465">
              <w:rPr>
                <w:rFonts w:asciiTheme="minorHAnsi" w:hAnsiTheme="minorHAnsi" w:cstheme="minorHAnsi"/>
                <w:sz w:val="20"/>
              </w:rPr>
              <w:t xml:space="preserve">Employers will be required to pay </w:t>
            </w:r>
            <w:r w:rsidR="00774C38" w:rsidRPr="005F2465">
              <w:rPr>
                <w:rFonts w:asciiTheme="minorHAnsi" w:hAnsiTheme="minorHAnsi" w:cstheme="minorHAnsi"/>
                <w:sz w:val="20"/>
              </w:rPr>
              <w:t>5</w:t>
            </w:r>
            <w:r w:rsidRPr="005F2465">
              <w:rPr>
                <w:rFonts w:asciiTheme="minorHAnsi" w:hAnsiTheme="minorHAnsi" w:cstheme="minorHAnsi"/>
                <w:sz w:val="20"/>
              </w:rPr>
              <w:t>% of the cost of apprenticeship training with the go</w:t>
            </w:r>
            <w:r w:rsidR="00774C38" w:rsidRPr="005F2465">
              <w:rPr>
                <w:rFonts w:asciiTheme="minorHAnsi" w:hAnsiTheme="minorHAnsi" w:cstheme="minorHAnsi"/>
                <w:sz w:val="20"/>
              </w:rPr>
              <w:t>vernment paying the remaining 95</w:t>
            </w:r>
            <w:r w:rsidRPr="005F2465">
              <w:rPr>
                <w:rFonts w:asciiTheme="minorHAnsi" w:hAnsiTheme="minorHAnsi" w:cstheme="minorHAnsi"/>
                <w:sz w:val="20"/>
              </w:rPr>
              <w:t>%</w:t>
            </w:r>
          </w:p>
        </w:tc>
      </w:tr>
    </w:tbl>
    <w:p w14:paraId="3F9E9660" w14:textId="64B6F3C8" w:rsidR="009607DB" w:rsidRPr="00A12821" w:rsidRDefault="009607DB" w:rsidP="009607DB">
      <w:pPr>
        <w:jc w:val="both"/>
        <w:rPr>
          <w:rFonts w:asciiTheme="minorHAnsi" w:hAnsiTheme="minorHAnsi" w:cstheme="minorHAnsi"/>
          <w:sz w:val="20"/>
          <w:highlight w:val="yellow"/>
          <w:lang w:val="en-US"/>
        </w:rPr>
      </w:pPr>
    </w:p>
    <w:p w14:paraId="41FBA6C9" w14:textId="77777777" w:rsidR="009607DB" w:rsidRPr="002E1CDA" w:rsidRDefault="009607DB" w:rsidP="009607DB">
      <w:pPr>
        <w:jc w:val="both"/>
        <w:rPr>
          <w:rFonts w:asciiTheme="minorHAnsi" w:hAnsiTheme="minorHAnsi" w:cstheme="minorHAnsi"/>
          <w:b/>
          <w:sz w:val="20"/>
        </w:rPr>
      </w:pPr>
      <w:r w:rsidRPr="002E1CDA">
        <w:rPr>
          <w:rFonts w:asciiTheme="minorHAnsi" w:hAnsiTheme="minorHAnsi" w:cstheme="minorHAnsi"/>
          <w:b/>
          <w:sz w:val="20"/>
        </w:rPr>
        <w:t xml:space="preserve">Managing Agents (Indirect Apprenticeships) </w:t>
      </w:r>
    </w:p>
    <w:p w14:paraId="6E3A328D" w14:textId="77777777" w:rsidR="009607DB" w:rsidRPr="002E1CDA" w:rsidRDefault="009607DB" w:rsidP="009607DB">
      <w:pPr>
        <w:jc w:val="both"/>
        <w:rPr>
          <w:rFonts w:asciiTheme="minorHAnsi" w:hAnsiTheme="minorHAnsi" w:cstheme="minorHAnsi"/>
          <w:sz w:val="20"/>
        </w:rPr>
      </w:pPr>
    </w:p>
    <w:tbl>
      <w:tblPr>
        <w:tblStyle w:val="TableGrid"/>
        <w:tblW w:w="9493" w:type="dxa"/>
        <w:tblLook w:val="04A0" w:firstRow="1" w:lastRow="0" w:firstColumn="1" w:lastColumn="0" w:noHBand="0" w:noVBand="1"/>
      </w:tblPr>
      <w:tblGrid>
        <w:gridCol w:w="3256"/>
        <w:gridCol w:w="6237"/>
      </w:tblGrid>
      <w:tr w:rsidR="009607DB" w:rsidRPr="002E1CDA" w14:paraId="19EC9B3D" w14:textId="77777777" w:rsidTr="009607DB">
        <w:tc>
          <w:tcPr>
            <w:tcW w:w="3256" w:type="dxa"/>
            <w:tcBorders>
              <w:top w:val="single" w:sz="4" w:space="0" w:color="auto"/>
              <w:left w:val="single" w:sz="4" w:space="0" w:color="auto"/>
              <w:bottom w:val="single" w:sz="4" w:space="0" w:color="auto"/>
              <w:right w:val="single" w:sz="4" w:space="0" w:color="auto"/>
            </w:tcBorders>
          </w:tcPr>
          <w:p w14:paraId="49B23AA4" w14:textId="77777777" w:rsidR="009607DB" w:rsidRPr="002E1CDA" w:rsidRDefault="009607DB">
            <w:pPr>
              <w:spacing w:line="256" w:lineRule="auto"/>
              <w:jc w:val="both"/>
              <w:rPr>
                <w:rFonts w:asciiTheme="minorHAnsi" w:hAnsiTheme="minorHAnsi" w:cstheme="minorHAnsi"/>
                <w:b/>
                <w:sz w:val="20"/>
              </w:rPr>
            </w:pPr>
          </w:p>
          <w:p w14:paraId="55808350" w14:textId="77777777" w:rsidR="009607DB" w:rsidRPr="002E1CDA" w:rsidRDefault="009607DB">
            <w:pPr>
              <w:spacing w:line="256" w:lineRule="auto"/>
              <w:jc w:val="both"/>
              <w:rPr>
                <w:rFonts w:asciiTheme="minorHAnsi" w:hAnsiTheme="minorHAnsi" w:cstheme="minorHAnsi"/>
                <w:b/>
                <w:sz w:val="20"/>
              </w:rPr>
            </w:pPr>
          </w:p>
        </w:tc>
        <w:tc>
          <w:tcPr>
            <w:tcW w:w="6237" w:type="dxa"/>
            <w:tcBorders>
              <w:top w:val="single" w:sz="4" w:space="0" w:color="auto"/>
              <w:left w:val="single" w:sz="4" w:space="0" w:color="auto"/>
              <w:bottom w:val="single" w:sz="4" w:space="0" w:color="auto"/>
              <w:right w:val="single" w:sz="4" w:space="0" w:color="auto"/>
            </w:tcBorders>
          </w:tcPr>
          <w:p w14:paraId="63ED1933" w14:textId="28610088" w:rsidR="009607DB" w:rsidRPr="002E1CDA" w:rsidRDefault="002B00AD">
            <w:pPr>
              <w:spacing w:line="256" w:lineRule="auto"/>
              <w:jc w:val="both"/>
              <w:rPr>
                <w:rFonts w:asciiTheme="minorHAnsi" w:hAnsiTheme="minorHAnsi" w:cstheme="minorHAnsi"/>
                <w:b/>
                <w:sz w:val="20"/>
              </w:rPr>
            </w:pPr>
            <w:r>
              <w:rPr>
                <w:rFonts w:asciiTheme="minorHAnsi" w:hAnsiTheme="minorHAnsi" w:cstheme="minorHAnsi"/>
                <w:b/>
                <w:sz w:val="20"/>
              </w:rPr>
              <w:t>2023/24</w:t>
            </w:r>
          </w:p>
        </w:tc>
      </w:tr>
      <w:tr w:rsidR="009607DB" w:rsidRPr="002E1CDA" w14:paraId="63B471BA" w14:textId="77777777" w:rsidTr="009607DB">
        <w:tc>
          <w:tcPr>
            <w:tcW w:w="3256" w:type="dxa"/>
            <w:tcBorders>
              <w:top w:val="single" w:sz="4" w:space="0" w:color="auto"/>
              <w:left w:val="single" w:sz="4" w:space="0" w:color="auto"/>
              <w:bottom w:val="single" w:sz="4" w:space="0" w:color="auto"/>
              <w:right w:val="single" w:sz="4" w:space="0" w:color="auto"/>
            </w:tcBorders>
            <w:hideMark/>
          </w:tcPr>
          <w:p w14:paraId="250C213E" w14:textId="77777777"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Infill</w:t>
            </w:r>
          </w:p>
        </w:tc>
        <w:tc>
          <w:tcPr>
            <w:tcW w:w="6237" w:type="dxa"/>
            <w:tcBorders>
              <w:top w:val="single" w:sz="4" w:space="0" w:color="auto"/>
              <w:left w:val="single" w:sz="4" w:space="0" w:color="auto"/>
              <w:bottom w:val="single" w:sz="4" w:space="0" w:color="auto"/>
              <w:right w:val="single" w:sz="4" w:space="0" w:color="auto"/>
            </w:tcBorders>
            <w:hideMark/>
          </w:tcPr>
          <w:p w14:paraId="5D641632" w14:textId="4792846F" w:rsidR="009607DB" w:rsidRPr="002E1CDA" w:rsidRDefault="00712293" w:rsidP="000E58D5">
            <w:pPr>
              <w:spacing w:after="160"/>
              <w:jc w:val="both"/>
              <w:rPr>
                <w:rFonts w:asciiTheme="minorHAnsi" w:hAnsiTheme="minorHAnsi" w:cstheme="minorHAnsi"/>
                <w:sz w:val="20"/>
              </w:rPr>
            </w:pPr>
            <w:r w:rsidRPr="002E1CDA">
              <w:rPr>
                <w:rFonts w:asciiTheme="minorHAnsi" w:hAnsiTheme="minorHAnsi" w:cstheme="minorHAnsi"/>
                <w:sz w:val="20"/>
              </w:rPr>
              <w:t xml:space="preserve">All </w:t>
            </w:r>
            <w:r w:rsidR="0070750C">
              <w:rPr>
                <w:rFonts w:asciiTheme="minorHAnsi" w:hAnsiTheme="minorHAnsi" w:cstheme="minorHAnsi"/>
                <w:sz w:val="20"/>
              </w:rPr>
              <w:t>2023/24</w:t>
            </w:r>
            <w:r w:rsidR="0029076A" w:rsidRPr="002E1CDA">
              <w:rPr>
                <w:rFonts w:asciiTheme="minorHAnsi" w:hAnsiTheme="minorHAnsi" w:cstheme="minorHAnsi"/>
                <w:b/>
                <w:sz w:val="20"/>
              </w:rPr>
              <w:t xml:space="preserve"> </w:t>
            </w:r>
            <w:r w:rsidRPr="002E1CDA">
              <w:rPr>
                <w:rFonts w:asciiTheme="minorHAnsi" w:hAnsiTheme="minorHAnsi" w:cstheme="minorHAnsi"/>
                <w:sz w:val="20"/>
              </w:rPr>
              <w:t xml:space="preserve">new starts </w:t>
            </w:r>
            <w:r w:rsidR="009607DB" w:rsidRPr="002E1CDA">
              <w:rPr>
                <w:rFonts w:asciiTheme="minorHAnsi" w:hAnsiTheme="minorHAnsi" w:cstheme="minorHAnsi"/>
                <w:sz w:val="20"/>
              </w:rPr>
              <w:t>will be agreed on a case by case basis by the Executive team.  It is expected that the Training Provider will pay the College 80% of the funding received for the competences being delivered.</w:t>
            </w:r>
          </w:p>
        </w:tc>
      </w:tr>
    </w:tbl>
    <w:p w14:paraId="1C7BC630" w14:textId="77777777" w:rsidR="009607DB" w:rsidRPr="002E1CDA" w:rsidRDefault="009607DB" w:rsidP="009607DB">
      <w:pPr>
        <w:jc w:val="both"/>
        <w:rPr>
          <w:rFonts w:asciiTheme="minorHAnsi" w:hAnsiTheme="minorHAnsi" w:cstheme="minorHAnsi"/>
          <w:sz w:val="20"/>
          <w:lang w:val="en-US"/>
        </w:rPr>
      </w:pPr>
    </w:p>
    <w:p w14:paraId="536EDC34" w14:textId="167DC3C9" w:rsidR="009607DB" w:rsidRPr="002E1CDA" w:rsidRDefault="009607DB" w:rsidP="00610A12">
      <w:pPr>
        <w:spacing w:after="200" w:line="276" w:lineRule="auto"/>
        <w:rPr>
          <w:rFonts w:asciiTheme="minorHAnsi" w:hAnsiTheme="minorHAnsi" w:cstheme="minorHAnsi"/>
          <w:b/>
          <w:sz w:val="20"/>
        </w:rPr>
      </w:pPr>
      <w:r w:rsidRPr="002E1CDA">
        <w:rPr>
          <w:rFonts w:asciiTheme="minorHAnsi" w:hAnsiTheme="minorHAnsi" w:cstheme="minorHAnsi"/>
          <w:b/>
          <w:sz w:val="20"/>
        </w:rPr>
        <w:t xml:space="preserve">Schools Provision </w:t>
      </w:r>
    </w:p>
    <w:p w14:paraId="5F029CA4" w14:textId="77777777" w:rsidR="009607DB" w:rsidRPr="002E1CDA" w:rsidRDefault="009607DB" w:rsidP="009607DB">
      <w:pPr>
        <w:jc w:val="both"/>
        <w:rPr>
          <w:rFonts w:asciiTheme="minorHAnsi" w:hAnsiTheme="minorHAnsi" w:cstheme="minorHAnsi"/>
          <w:sz w:val="20"/>
        </w:rPr>
      </w:pPr>
    </w:p>
    <w:tbl>
      <w:tblPr>
        <w:tblStyle w:val="TableGrid"/>
        <w:tblW w:w="9493" w:type="dxa"/>
        <w:tblLook w:val="04A0" w:firstRow="1" w:lastRow="0" w:firstColumn="1" w:lastColumn="0" w:noHBand="0" w:noVBand="1"/>
      </w:tblPr>
      <w:tblGrid>
        <w:gridCol w:w="3238"/>
        <w:gridCol w:w="6255"/>
      </w:tblGrid>
      <w:tr w:rsidR="009607DB" w:rsidRPr="002E1CDA" w14:paraId="546D8F0A" w14:textId="77777777" w:rsidTr="009607DB">
        <w:tc>
          <w:tcPr>
            <w:tcW w:w="3238" w:type="dxa"/>
            <w:tcBorders>
              <w:top w:val="single" w:sz="4" w:space="0" w:color="auto"/>
              <w:left w:val="single" w:sz="4" w:space="0" w:color="auto"/>
              <w:bottom w:val="single" w:sz="4" w:space="0" w:color="auto"/>
              <w:right w:val="single" w:sz="4" w:space="0" w:color="auto"/>
            </w:tcBorders>
          </w:tcPr>
          <w:p w14:paraId="0240330C" w14:textId="77777777" w:rsidR="009607DB" w:rsidRPr="002E1CDA" w:rsidRDefault="009607DB">
            <w:pPr>
              <w:spacing w:line="256" w:lineRule="auto"/>
              <w:jc w:val="both"/>
              <w:rPr>
                <w:rFonts w:asciiTheme="minorHAnsi" w:hAnsiTheme="minorHAnsi" w:cstheme="minorHAnsi"/>
                <w:b/>
                <w:sz w:val="20"/>
              </w:rPr>
            </w:pPr>
          </w:p>
          <w:p w14:paraId="73F30350" w14:textId="77777777" w:rsidR="009607DB" w:rsidRPr="002E1CDA" w:rsidRDefault="009607DB">
            <w:pPr>
              <w:spacing w:line="256" w:lineRule="auto"/>
              <w:jc w:val="both"/>
              <w:rPr>
                <w:rFonts w:asciiTheme="minorHAnsi" w:hAnsiTheme="minorHAnsi" w:cstheme="minorHAnsi"/>
                <w:b/>
                <w:sz w:val="20"/>
              </w:rPr>
            </w:pPr>
          </w:p>
        </w:tc>
        <w:tc>
          <w:tcPr>
            <w:tcW w:w="6255" w:type="dxa"/>
            <w:tcBorders>
              <w:top w:val="single" w:sz="4" w:space="0" w:color="auto"/>
              <w:left w:val="single" w:sz="4" w:space="0" w:color="auto"/>
              <w:bottom w:val="single" w:sz="4" w:space="0" w:color="auto"/>
              <w:right w:val="single" w:sz="4" w:space="0" w:color="auto"/>
            </w:tcBorders>
            <w:hideMark/>
          </w:tcPr>
          <w:p w14:paraId="4CD2F77F" w14:textId="505E8330" w:rsidR="009607DB" w:rsidRPr="002E1CDA" w:rsidRDefault="002B00AD">
            <w:pPr>
              <w:spacing w:line="256" w:lineRule="auto"/>
              <w:jc w:val="both"/>
              <w:rPr>
                <w:rFonts w:asciiTheme="minorHAnsi" w:hAnsiTheme="minorHAnsi" w:cstheme="minorHAnsi"/>
                <w:b/>
                <w:sz w:val="20"/>
              </w:rPr>
            </w:pPr>
            <w:r>
              <w:rPr>
                <w:rFonts w:asciiTheme="minorHAnsi" w:hAnsiTheme="minorHAnsi" w:cstheme="minorHAnsi"/>
                <w:b/>
                <w:sz w:val="20"/>
              </w:rPr>
              <w:t>2023/24</w:t>
            </w:r>
          </w:p>
        </w:tc>
      </w:tr>
      <w:tr w:rsidR="009607DB" w:rsidRPr="002E1CDA" w14:paraId="539056C4" w14:textId="77777777" w:rsidTr="009607DB">
        <w:trPr>
          <w:trHeight w:val="678"/>
        </w:trPr>
        <w:tc>
          <w:tcPr>
            <w:tcW w:w="3238" w:type="dxa"/>
            <w:tcBorders>
              <w:top w:val="single" w:sz="4" w:space="0" w:color="auto"/>
              <w:left w:val="single" w:sz="4" w:space="0" w:color="auto"/>
              <w:bottom w:val="single" w:sz="4" w:space="0" w:color="auto"/>
              <w:right w:val="single" w:sz="4" w:space="0" w:color="auto"/>
            </w:tcBorders>
            <w:hideMark/>
          </w:tcPr>
          <w:p w14:paraId="0A154C8D" w14:textId="77777777"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Discrete group (hourly rate)</w:t>
            </w:r>
          </w:p>
        </w:tc>
        <w:tc>
          <w:tcPr>
            <w:tcW w:w="6255" w:type="dxa"/>
            <w:tcBorders>
              <w:top w:val="single" w:sz="4" w:space="0" w:color="auto"/>
              <w:left w:val="single" w:sz="4" w:space="0" w:color="auto"/>
              <w:bottom w:val="single" w:sz="4" w:space="0" w:color="auto"/>
              <w:right w:val="single" w:sz="4" w:space="0" w:color="auto"/>
            </w:tcBorders>
            <w:vAlign w:val="center"/>
            <w:hideMark/>
          </w:tcPr>
          <w:p w14:paraId="6E266F7F" w14:textId="38A2C93B"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 xml:space="preserve">Schools – </w:t>
            </w:r>
            <w:r w:rsidR="002B00AD" w:rsidRPr="0070750C">
              <w:rPr>
                <w:rFonts w:asciiTheme="minorHAnsi" w:hAnsiTheme="minorHAnsi" w:cstheme="minorHAnsi"/>
                <w:sz w:val="20"/>
                <w:highlight w:val="yellow"/>
              </w:rPr>
              <w:t>Minimum of</w:t>
            </w:r>
            <w:r w:rsidRPr="002E1CDA">
              <w:rPr>
                <w:rFonts w:asciiTheme="minorHAnsi" w:hAnsiTheme="minorHAnsi" w:cstheme="minorHAnsi"/>
                <w:sz w:val="20"/>
              </w:rPr>
              <w:t xml:space="preserve"> £140 per hour (plus materials &amp; exams); however, the College reserves the right to negotiate rates with individual schools</w:t>
            </w:r>
          </w:p>
        </w:tc>
      </w:tr>
      <w:tr w:rsidR="009607DB" w:rsidRPr="002E1CDA" w14:paraId="2F6DB3B7" w14:textId="77777777" w:rsidTr="009607DB">
        <w:trPr>
          <w:trHeight w:val="716"/>
        </w:trPr>
        <w:tc>
          <w:tcPr>
            <w:tcW w:w="3238" w:type="dxa"/>
            <w:tcBorders>
              <w:top w:val="single" w:sz="4" w:space="0" w:color="auto"/>
              <w:left w:val="single" w:sz="4" w:space="0" w:color="auto"/>
              <w:bottom w:val="single" w:sz="4" w:space="0" w:color="auto"/>
              <w:right w:val="single" w:sz="4" w:space="0" w:color="auto"/>
            </w:tcBorders>
            <w:hideMark/>
          </w:tcPr>
          <w:p w14:paraId="635D9250" w14:textId="77777777"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Infill (per hour) aged 14-19</w:t>
            </w:r>
          </w:p>
        </w:tc>
        <w:tc>
          <w:tcPr>
            <w:tcW w:w="6255" w:type="dxa"/>
            <w:tcBorders>
              <w:top w:val="single" w:sz="4" w:space="0" w:color="auto"/>
              <w:left w:val="single" w:sz="4" w:space="0" w:color="auto"/>
              <w:bottom w:val="single" w:sz="4" w:space="0" w:color="auto"/>
              <w:right w:val="single" w:sz="4" w:space="0" w:color="auto"/>
            </w:tcBorders>
            <w:vAlign w:val="center"/>
            <w:hideMark/>
          </w:tcPr>
          <w:p w14:paraId="17C30399" w14:textId="25EB645C" w:rsidR="009607DB" w:rsidRPr="002E1CDA" w:rsidRDefault="002B00AD">
            <w:pPr>
              <w:spacing w:line="256" w:lineRule="auto"/>
              <w:jc w:val="both"/>
              <w:rPr>
                <w:rFonts w:asciiTheme="minorHAnsi" w:hAnsiTheme="minorHAnsi" w:cstheme="minorHAnsi"/>
                <w:sz w:val="20"/>
              </w:rPr>
            </w:pPr>
            <w:r w:rsidRPr="0070750C">
              <w:rPr>
                <w:rFonts w:asciiTheme="minorHAnsi" w:hAnsiTheme="minorHAnsi" w:cstheme="minorHAnsi"/>
                <w:sz w:val="20"/>
                <w:highlight w:val="yellow"/>
              </w:rPr>
              <w:t>Minimum of</w:t>
            </w:r>
            <w:r w:rsidR="009607DB" w:rsidRPr="002E1CDA">
              <w:rPr>
                <w:rFonts w:asciiTheme="minorHAnsi" w:hAnsiTheme="minorHAnsi" w:cstheme="minorHAnsi"/>
                <w:sz w:val="20"/>
              </w:rPr>
              <w:t xml:space="preserve"> £10 per hour; however, the College reserves the right to negotiate rates with individual schools</w:t>
            </w:r>
          </w:p>
        </w:tc>
      </w:tr>
      <w:tr w:rsidR="009607DB" w:rsidRPr="002E1CDA" w14:paraId="24306022" w14:textId="77777777" w:rsidTr="009607DB">
        <w:trPr>
          <w:trHeight w:val="348"/>
        </w:trPr>
        <w:tc>
          <w:tcPr>
            <w:tcW w:w="3238" w:type="dxa"/>
            <w:tcBorders>
              <w:top w:val="single" w:sz="4" w:space="0" w:color="auto"/>
              <w:left w:val="single" w:sz="4" w:space="0" w:color="auto"/>
              <w:bottom w:val="single" w:sz="4" w:space="0" w:color="auto"/>
              <w:right w:val="single" w:sz="4" w:space="0" w:color="auto"/>
            </w:tcBorders>
            <w:hideMark/>
          </w:tcPr>
          <w:p w14:paraId="1E9430A0" w14:textId="77777777"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Alternative Provision</w:t>
            </w:r>
          </w:p>
        </w:tc>
        <w:tc>
          <w:tcPr>
            <w:tcW w:w="6255" w:type="dxa"/>
            <w:tcBorders>
              <w:top w:val="single" w:sz="4" w:space="0" w:color="auto"/>
              <w:left w:val="single" w:sz="4" w:space="0" w:color="auto"/>
              <w:bottom w:val="single" w:sz="4" w:space="0" w:color="auto"/>
              <w:right w:val="single" w:sz="4" w:space="0" w:color="auto"/>
            </w:tcBorders>
            <w:vAlign w:val="center"/>
            <w:hideMark/>
          </w:tcPr>
          <w:p w14:paraId="361A25FE" w14:textId="77777777"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As specified in the Alternative Provision contract with Liverpool City Council</w:t>
            </w:r>
          </w:p>
        </w:tc>
      </w:tr>
      <w:tr w:rsidR="009607DB" w:rsidRPr="002E1CDA" w14:paraId="242DA8C1" w14:textId="77777777" w:rsidTr="009607DB">
        <w:trPr>
          <w:trHeight w:val="684"/>
        </w:trPr>
        <w:tc>
          <w:tcPr>
            <w:tcW w:w="3238" w:type="dxa"/>
            <w:tcBorders>
              <w:top w:val="single" w:sz="4" w:space="0" w:color="auto"/>
              <w:left w:val="single" w:sz="4" w:space="0" w:color="auto"/>
              <w:bottom w:val="single" w:sz="4" w:space="0" w:color="auto"/>
              <w:right w:val="single" w:sz="4" w:space="0" w:color="auto"/>
            </w:tcBorders>
            <w:hideMark/>
          </w:tcPr>
          <w:p w14:paraId="6EE4D08A" w14:textId="77777777"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Additional learning support</w:t>
            </w:r>
          </w:p>
        </w:tc>
        <w:tc>
          <w:tcPr>
            <w:tcW w:w="6255" w:type="dxa"/>
            <w:tcBorders>
              <w:top w:val="single" w:sz="4" w:space="0" w:color="auto"/>
              <w:left w:val="single" w:sz="4" w:space="0" w:color="auto"/>
              <w:bottom w:val="single" w:sz="4" w:space="0" w:color="auto"/>
              <w:right w:val="single" w:sz="4" w:space="0" w:color="auto"/>
            </w:tcBorders>
            <w:hideMark/>
          </w:tcPr>
          <w:p w14:paraId="5B213651" w14:textId="77777777"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 xml:space="preserve">Specific rates to be determined based on students’ identified needs. </w:t>
            </w:r>
          </w:p>
        </w:tc>
      </w:tr>
    </w:tbl>
    <w:p w14:paraId="27FB6B2D" w14:textId="77777777" w:rsidR="005F2465" w:rsidRDefault="005F2465" w:rsidP="00AE2CF8">
      <w:pPr>
        <w:spacing w:line="256" w:lineRule="auto"/>
        <w:jc w:val="both"/>
        <w:rPr>
          <w:rFonts w:asciiTheme="minorHAnsi" w:hAnsiTheme="minorHAnsi" w:cstheme="minorHAnsi"/>
          <w:b/>
          <w:sz w:val="20"/>
        </w:rPr>
      </w:pPr>
    </w:p>
    <w:p w14:paraId="2DAD2634" w14:textId="77777777" w:rsidR="005F2465" w:rsidRDefault="005F2465">
      <w:pPr>
        <w:spacing w:after="200" w:line="276" w:lineRule="auto"/>
        <w:rPr>
          <w:rFonts w:asciiTheme="minorHAnsi" w:hAnsiTheme="minorHAnsi" w:cstheme="minorHAnsi"/>
          <w:b/>
          <w:sz w:val="20"/>
        </w:rPr>
      </w:pPr>
      <w:r>
        <w:rPr>
          <w:rFonts w:asciiTheme="minorHAnsi" w:hAnsiTheme="minorHAnsi" w:cstheme="minorHAnsi"/>
          <w:b/>
          <w:sz w:val="20"/>
        </w:rPr>
        <w:br w:type="page"/>
      </w:r>
    </w:p>
    <w:p w14:paraId="2712C86E" w14:textId="734B5FF5" w:rsidR="009607DB" w:rsidRPr="002E1CDA" w:rsidRDefault="009607DB" w:rsidP="00AE2CF8">
      <w:pPr>
        <w:spacing w:line="256" w:lineRule="auto"/>
        <w:jc w:val="both"/>
        <w:rPr>
          <w:rFonts w:asciiTheme="minorHAnsi" w:hAnsiTheme="minorHAnsi" w:cstheme="minorHAnsi"/>
          <w:b/>
          <w:sz w:val="20"/>
        </w:rPr>
      </w:pPr>
      <w:r w:rsidRPr="002E1CDA">
        <w:rPr>
          <w:rFonts w:asciiTheme="minorHAnsi" w:hAnsiTheme="minorHAnsi" w:cstheme="minorHAnsi"/>
          <w:b/>
          <w:sz w:val="20"/>
        </w:rPr>
        <w:t>Other Charges</w:t>
      </w:r>
    </w:p>
    <w:p w14:paraId="169FDBA3" w14:textId="77777777" w:rsidR="009607DB" w:rsidRPr="002E1CDA" w:rsidRDefault="009607DB" w:rsidP="009607DB">
      <w:pPr>
        <w:jc w:val="both"/>
        <w:rPr>
          <w:rFonts w:asciiTheme="minorHAnsi" w:hAnsiTheme="minorHAnsi" w:cstheme="minorHAnsi"/>
          <w:sz w:val="20"/>
        </w:rPr>
      </w:pPr>
    </w:p>
    <w:tbl>
      <w:tblPr>
        <w:tblStyle w:val="TableGrid"/>
        <w:tblW w:w="9493" w:type="dxa"/>
        <w:tblLook w:val="04A0" w:firstRow="1" w:lastRow="0" w:firstColumn="1" w:lastColumn="0" w:noHBand="0" w:noVBand="1"/>
      </w:tblPr>
      <w:tblGrid>
        <w:gridCol w:w="3305"/>
        <w:gridCol w:w="6188"/>
      </w:tblGrid>
      <w:tr w:rsidR="009607DB" w:rsidRPr="002E1CDA" w14:paraId="5A341AD5" w14:textId="77777777" w:rsidTr="009607DB">
        <w:tc>
          <w:tcPr>
            <w:tcW w:w="3305" w:type="dxa"/>
            <w:tcBorders>
              <w:top w:val="single" w:sz="4" w:space="0" w:color="auto"/>
              <w:left w:val="single" w:sz="4" w:space="0" w:color="auto"/>
              <w:bottom w:val="single" w:sz="4" w:space="0" w:color="auto"/>
              <w:right w:val="single" w:sz="4" w:space="0" w:color="auto"/>
            </w:tcBorders>
          </w:tcPr>
          <w:p w14:paraId="0DB9AE1F" w14:textId="77777777" w:rsidR="009607DB" w:rsidRPr="002E1CDA" w:rsidRDefault="009607DB">
            <w:pPr>
              <w:spacing w:line="256" w:lineRule="auto"/>
              <w:jc w:val="both"/>
              <w:rPr>
                <w:rFonts w:asciiTheme="minorHAnsi" w:hAnsiTheme="minorHAnsi" w:cstheme="minorHAnsi"/>
                <w:b/>
                <w:sz w:val="20"/>
              </w:rPr>
            </w:pPr>
          </w:p>
          <w:p w14:paraId="27598DB1" w14:textId="77777777" w:rsidR="009607DB" w:rsidRPr="002E1CDA" w:rsidRDefault="009607DB">
            <w:pPr>
              <w:spacing w:line="256" w:lineRule="auto"/>
              <w:jc w:val="both"/>
              <w:rPr>
                <w:rFonts w:asciiTheme="minorHAnsi" w:hAnsiTheme="minorHAnsi" w:cstheme="minorHAnsi"/>
                <w:b/>
                <w:sz w:val="20"/>
              </w:rPr>
            </w:pPr>
            <w:r w:rsidRPr="002E1CDA">
              <w:rPr>
                <w:rFonts w:asciiTheme="minorHAnsi" w:hAnsiTheme="minorHAnsi" w:cstheme="minorHAnsi"/>
                <w:b/>
                <w:sz w:val="20"/>
              </w:rPr>
              <w:t xml:space="preserve">Other Charges </w:t>
            </w:r>
          </w:p>
          <w:p w14:paraId="319D7C25" w14:textId="77777777" w:rsidR="009607DB" w:rsidRPr="002E1CDA" w:rsidRDefault="009607DB">
            <w:pPr>
              <w:spacing w:line="256" w:lineRule="auto"/>
              <w:jc w:val="both"/>
              <w:rPr>
                <w:rFonts w:asciiTheme="minorHAnsi" w:hAnsiTheme="minorHAnsi" w:cstheme="minorHAnsi"/>
                <w:b/>
                <w:sz w:val="20"/>
              </w:rPr>
            </w:pPr>
          </w:p>
        </w:tc>
        <w:tc>
          <w:tcPr>
            <w:tcW w:w="6188" w:type="dxa"/>
            <w:tcBorders>
              <w:top w:val="single" w:sz="4" w:space="0" w:color="auto"/>
              <w:left w:val="single" w:sz="4" w:space="0" w:color="auto"/>
              <w:bottom w:val="single" w:sz="4" w:space="0" w:color="auto"/>
              <w:right w:val="single" w:sz="4" w:space="0" w:color="auto"/>
            </w:tcBorders>
          </w:tcPr>
          <w:p w14:paraId="253AE0F9" w14:textId="77777777" w:rsidR="00AE2CF8" w:rsidRPr="002E1CDA" w:rsidRDefault="00AE2CF8">
            <w:pPr>
              <w:spacing w:line="256" w:lineRule="auto"/>
              <w:jc w:val="both"/>
              <w:rPr>
                <w:rFonts w:asciiTheme="minorHAnsi" w:hAnsiTheme="minorHAnsi" w:cstheme="minorHAnsi"/>
                <w:b/>
                <w:sz w:val="20"/>
              </w:rPr>
            </w:pPr>
          </w:p>
          <w:p w14:paraId="660B4A73" w14:textId="73A98B0C" w:rsidR="009607DB" w:rsidRPr="002E1CDA" w:rsidRDefault="002B00AD">
            <w:pPr>
              <w:spacing w:line="256" w:lineRule="auto"/>
              <w:jc w:val="both"/>
              <w:rPr>
                <w:rFonts w:asciiTheme="minorHAnsi" w:hAnsiTheme="minorHAnsi" w:cstheme="minorHAnsi"/>
                <w:b/>
                <w:sz w:val="20"/>
              </w:rPr>
            </w:pPr>
            <w:r>
              <w:rPr>
                <w:rFonts w:asciiTheme="minorHAnsi" w:hAnsiTheme="minorHAnsi" w:cstheme="minorHAnsi"/>
                <w:b/>
                <w:sz w:val="20"/>
              </w:rPr>
              <w:t>2023/24</w:t>
            </w:r>
          </w:p>
        </w:tc>
      </w:tr>
      <w:tr w:rsidR="009607DB" w:rsidRPr="002E1CDA" w14:paraId="7E6ABD6B" w14:textId="77777777" w:rsidTr="009607DB">
        <w:tc>
          <w:tcPr>
            <w:tcW w:w="3305" w:type="dxa"/>
            <w:tcBorders>
              <w:top w:val="single" w:sz="4" w:space="0" w:color="auto"/>
              <w:left w:val="single" w:sz="4" w:space="0" w:color="auto"/>
              <w:bottom w:val="single" w:sz="4" w:space="0" w:color="auto"/>
              <w:right w:val="single" w:sz="4" w:space="0" w:color="auto"/>
            </w:tcBorders>
            <w:hideMark/>
          </w:tcPr>
          <w:p w14:paraId="1BF6544B" w14:textId="77777777"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 xml:space="preserve">Income Generation Activities </w:t>
            </w:r>
          </w:p>
        </w:tc>
        <w:tc>
          <w:tcPr>
            <w:tcW w:w="6188" w:type="dxa"/>
            <w:tcBorders>
              <w:top w:val="single" w:sz="4" w:space="0" w:color="auto"/>
              <w:left w:val="single" w:sz="4" w:space="0" w:color="auto"/>
              <w:bottom w:val="single" w:sz="4" w:space="0" w:color="auto"/>
              <w:right w:val="single" w:sz="4" w:space="0" w:color="auto"/>
            </w:tcBorders>
            <w:vAlign w:val="center"/>
            <w:hideMark/>
          </w:tcPr>
          <w:p w14:paraId="540C7ED6" w14:textId="77777777"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Refer to list of fees for specific courses</w:t>
            </w:r>
          </w:p>
        </w:tc>
      </w:tr>
      <w:tr w:rsidR="009607DB" w:rsidRPr="002E1CDA" w14:paraId="0BE79B8D" w14:textId="77777777" w:rsidTr="009607DB">
        <w:tc>
          <w:tcPr>
            <w:tcW w:w="3305" w:type="dxa"/>
            <w:tcBorders>
              <w:top w:val="single" w:sz="4" w:space="0" w:color="auto"/>
              <w:left w:val="single" w:sz="4" w:space="0" w:color="auto"/>
              <w:bottom w:val="single" w:sz="4" w:space="0" w:color="auto"/>
              <w:right w:val="single" w:sz="4" w:space="0" w:color="auto"/>
            </w:tcBorders>
            <w:hideMark/>
          </w:tcPr>
          <w:p w14:paraId="5FF19E5E" w14:textId="77777777"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Additional learning support for students on IG courses</w:t>
            </w:r>
          </w:p>
        </w:tc>
        <w:tc>
          <w:tcPr>
            <w:tcW w:w="6188" w:type="dxa"/>
            <w:tcBorders>
              <w:top w:val="single" w:sz="4" w:space="0" w:color="auto"/>
              <w:left w:val="single" w:sz="4" w:space="0" w:color="auto"/>
              <w:bottom w:val="single" w:sz="4" w:space="0" w:color="auto"/>
              <w:right w:val="single" w:sz="4" w:space="0" w:color="auto"/>
            </w:tcBorders>
            <w:vAlign w:val="center"/>
            <w:hideMark/>
          </w:tcPr>
          <w:p w14:paraId="53555696" w14:textId="77777777"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Specific fees to be determined based on students’ identified needs.</w:t>
            </w:r>
          </w:p>
        </w:tc>
      </w:tr>
      <w:tr w:rsidR="009607DB" w:rsidRPr="002E1CDA" w14:paraId="29BF0834" w14:textId="77777777" w:rsidTr="009607DB">
        <w:trPr>
          <w:trHeight w:val="428"/>
        </w:trPr>
        <w:tc>
          <w:tcPr>
            <w:tcW w:w="3305" w:type="dxa"/>
            <w:tcBorders>
              <w:top w:val="single" w:sz="4" w:space="0" w:color="auto"/>
              <w:left w:val="single" w:sz="4" w:space="0" w:color="auto"/>
              <w:bottom w:val="single" w:sz="4" w:space="0" w:color="auto"/>
              <w:right w:val="single" w:sz="4" w:space="0" w:color="auto"/>
            </w:tcBorders>
            <w:vAlign w:val="center"/>
            <w:hideMark/>
          </w:tcPr>
          <w:p w14:paraId="4F4728A5" w14:textId="77777777"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 xml:space="preserve">Adult Safeguarded Learning </w:t>
            </w:r>
          </w:p>
        </w:tc>
        <w:tc>
          <w:tcPr>
            <w:tcW w:w="6188" w:type="dxa"/>
            <w:tcBorders>
              <w:top w:val="single" w:sz="4" w:space="0" w:color="auto"/>
              <w:left w:val="single" w:sz="4" w:space="0" w:color="auto"/>
              <w:bottom w:val="single" w:sz="4" w:space="0" w:color="auto"/>
              <w:right w:val="single" w:sz="4" w:space="0" w:color="auto"/>
            </w:tcBorders>
            <w:vAlign w:val="center"/>
            <w:hideMark/>
          </w:tcPr>
          <w:p w14:paraId="77EF1329" w14:textId="77777777" w:rsidR="009607DB" w:rsidRPr="002E1CDA" w:rsidRDefault="009607DB">
            <w:pPr>
              <w:spacing w:line="256" w:lineRule="auto"/>
              <w:jc w:val="both"/>
              <w:rPr>
                <w:rFonts w:asciiTheme="minorHAnsi" w:hAnsiTheme="minorHAnsi" w:cstheme="minorHAnsi"/>
                <w:sz w:val="20"/>
              </w:rPr>
            </w:pPr>
            <w:r w:rsidRPr="002E1CDA">
              <w:rPr>
                <w:rFonts w:asciiTheme="minorHAnsi" w:hAnsiTheme="minorHAnsi" w:cstheme="minorHAnsi"/>
                <w:sz w:val="20"/>
              </w:rPr>
              <w:t xml:space="preserve">Refer to list of fees for specific courses </w:t>
            </w:r>
          </w:p>
        </w:tc>
      </w:tr>
      <w:tr w:rsidR="009607DB" w:rsidRPr="002E1CDA" w14:paraId="4FBD1F6F" w14:textId="77777777" w:rsidTr="009607DB">
        <w:trPr>
          <w:trHeight w:val="560"/>
        </w:trPr>
        <w:tc>
          <w:tcPr>
            <w:tcW w:w="3305" w:type="dxa"/>
            <w:tcBorders>
              <w:top w:val="single" w:sz="4" w:space="0" w:color="auto"/>
              <w:left w:val="single" w:sz="4" w:space="0" w:color="auto"/>
              <w:bottom w:val="single" w:sz="4" w:space="0" w:color="auto"/>
              <w:right w:val="single" w:sz="4" w:space="0" w:color="auto"/>
            </w:tcBorders>
            <w:vAlign w:val="center"/>
            <w:hideMark/>
          </w:tcPr>
          <w:p w14:paraId="20AA738E" w14:textId="752FCE62" w:rsidR="009607DB" w:rsidRPr="002E1CDA" w:rsidRDefault="00524B2E" w:rsidP="00524B2E">
            <w:pPr>
              <w:jc w:val="both"/>
              <w:rPr>
                <w:rFonts w:asciiTheme="minorHAnsi" w:hAnsiTheme="minorHAnsi" w:cstheme="minorHAnsi"/>
                <w:sz w:val="20"/>
              </w:rPr>
            </w:pPr>
            <w:r w:rsidRPr="002E1CDA">
              <w:rPr>
                <w:rFonts w:asciiTheme="minorHAnsi" w:hAnsiTheme="minorHAnsi" w:cstheme="minorHAnsi"/>
                <w:sz w:val="20"/>
              </w:rPr>
              <w:t>ID card replacement (staff and students)</w:t>
            </w:r>
          </w:p>
        </w:tc>
        <w:tc>
          <w:tcPr>
            <w:tcW w:w="6188" w:type="dxa"/>
            <w:tcBorders>
              <w:top w:val="single" w:sz="4" w:space="0" w:color="auto"/>
              <w:left w:val="single" w:sz="4" w:space="0" w:color="auto"/>
              <w:bottom w:val="single" w:sz="4" w:space="0" w:color="auto"/>
              <w:right w:val="single" w:sz="4" w:space="0" w:color="auto"/>
            </w:tcBorders>
            <w:vAlign w:val="center"/>
            <w:hideMark/>
          </w:tcPr>
          <w:p w14:paraId="461FDF0F" w14:textId="71F005DC"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£2</w:t>
            </w:r>
            <w:r w:rsidR="00524B2E" w:rsidRPr="002E1CDA">
              <w:rPr>
                <w:rFonts w:asciiTheme="minorHAnsi" w:hAnsiTheme="minorHAnsi" w:cstheme="minorHAnsi"/>
                <w:sz w:val="20"/>
              </w:rPr>
              <w:t xml:space="preserve"> (one replacement card per annum provided free of charge)</w:t>
            </w:r>
          </w:p>
        </w:tc>
      </w:tr>
      <w:tr w:rsidR="009607DB" w:rsidRPr="002E1CDA" w14:paraId="754877A8" w14:textId="77777777" w:rsidTr="009607DB">
        <w:trPr>
          <w:trHeight w:val="1255"/>
        </w:trPr>
        <w:tc>
          <w:tcPr>
            <w:tcW w:w="3305" w:type="dxa"/>
            <w:tcBorders>
              <w:top w:val="single" w:sz="4" w:space="0" w:color="auto"/>
              <w:left w:val="single" w:sz="4" w:space="0" w:color="auto"/>
              <w:bottom w:val="single" w:sz="4" w:space="0" w:color="auto"/>
              <w:right w:val="single" w:sz="4" w:space="0" w:color="auto"/>
            </w:tcBorders>
            <w:hideMark/>
          </w:tcPr>
          <w:p w14:paraId="256BCF20" w14:textId="77777777"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 xml:space="preserve">Instalments </w:t>
            </w:r>
          </w:p>
          <w:p w14:paraId="33F5C462" w14:textId="07C9806C" w:rsidR="00F74E21" w:rsidRPr="002E1CDA" w:rsidRDefault="00F74E21">
            <w:pPr>
              <w:rPr>
                <w:rFonts w:asciiTheme="minorHAnsi" w:hAnsiTheme="minorHAnsi" w:cstheme="minorHAnsi"/>
                <w:sz w:val="20"/>
              </w:rPr>
            </w:pPr>
            <w:r w:rsidRPr="002E1CDA">
              <w:rPr>
                <w:rFonts w:asciiTheme="minorHAnsi" w:hAnsiTheme="minorHAnsi" w:cstheme="minorHAnsi"/>
                <w:sz w:val="20"/>
              </w:rPr>
              <w:t>Threshold at which payment by  instalments is available (subject to terms and conditions)</w:t>
            </w:r>
          </w:p>
        </w:tc>
        <w:tc>
          <w:tcPr>
            <w:tcW w:w="6188" w:type="dxa"/>
            <w:tcBorders>
              <w:top w:val="single" w:sz="4" w:space="0" w:color="auto"/>
              <w:left w:val="single" w:sz="4" w:space="0" w:color="auto"/>
              <w:bottom w:val="single" w:sz="4" w:space="0" w:color="auto"/>
              <w:right w:val="single" w:sz="4" w:space="0" w:color="auto"/>
            </w:tcBorders>
          </w:tcPr>
          <w:p w14:paraId="767BC18F" w14:textId="77777777" w:rsidR="009607DB" w:rsidRPr="002E1CDA" w:rsidRDefault="009607DB">
            <w:pPr>
              <w:jc w:val="both"/>
              <w:rPr>
                <w:rFonts w:asciiTheme="minorHAnsi" w:hAnsiTheme="minorHAnsi" w:cstheme="minorHAnsi"/>
                <w:sz w:val="20"/>
              </w:rPr>
            </w:pPr>
          </w:p>
          <w:p w14:paraId="04BD829D" w14:textId="247B222A" w:rsidR="00F74E21" w:rsidRPr="002E1CDA" w:rsidRDefault="00F74E21" w:rsidP="009B1844">
            <w:pPr>
              <w:jc w:val="both"/>
              <w:rPr>
                <w:rFonts w:asciiTheme="minorHAnsi" w:hAnsiTheme="minorHAnsi" w:cstheme="minorHAnsi"/>
                <w:sz w:val="20"/>
              </w:rPr>
            </w:pPr>
            <w:r w:rsidRPr="002E1CDA">
              <w:rPr>
                <w:rFonts w:asciiTheme="minorHAnsi" w:hAnsiTheme="minorHAnsi" w:cstheme="minorHAnsi"/>
                <w:sz w:val="20"/>
              </w:rPr>
              <w:t>Course fee in excess of £250 and course duration over 12 weeks</w:t>
            </w:r>
          </w:p>
        </w:tc>
      </w:tr>
      <w:tr w:rsidR="009607DB" w:rsidRPr="002E1CDA" w14:paraId="721C02BF" w14:textId="77777777" w:rsidTr="009607DB">
        <w:trPr>
          <w:trHeight w:val="551"/>
        </w:trPr>
        <w:tc>
          <w:tcPr>
            <w:tcW w:w="3305" w:type="dxa"/>
            <w:tcBorders>
              <w:top w:val="single" w:sz="4" w:space="0" w:color="auto"/>
              <w:left w:val="single" w:sz="4" w:space="0" w:color="auto"/>
              <w:bottom w:val="single" w:sz="4" w:space="0" w:color="auto"/>
              <w:right w:val="single" w:sz="4" w:space="0" w:color="auto"/>
            </w:tcBorders>
            <w:vAlign w:val="center"/>
            <w:hideMark/>
          </w:tcPr>
          <w:p w14:paraId="782351D4" w14:textId="77777777"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 xml:space="preserve">Instalment administration fee </w:t>
            </w:r>
          </w:p>
        </w:tc>
        <w:tc>
          <w:tcPr>
            <w:tcW w:w="6188" w:type="dxa"/>
            <w:tcBorders>
              <w:top w:val="single" w:sz="4" w:space="0" w:color="auto"/>
              <w:left w:val="single" w:sz="4" w:space="0" w:color="auto"/>
              <w:bottom w:val="single" w:sz="4" w:space="0" w:color="auto"/>
              <w:right w:val="single" w:sz="4" w:space="0" w:color="auto"/>
            </w:tcBorders>
            <w:vAlign w:val="center"/>
            <w:hideMark/>
          </w:tcPr>
          <w:p w14:paraId="7E071E22" w14:textId="77777777"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£12.50 +VAT</w:t>
            </w:r>
          </w:p>
        </w:tc>
      </w:tr>
      <w:tr w:rsidR="009607DB" w:rsidRPr="002E1CDA" w14:paraId="0D9CF97E" w14:textId="77777777" w:rsidTr="009607DB">
        <w:trPr>
          <w:trHeight w:val="551"/>
        </w:trPr>
        <w:tc>
          <w:tcPr>
            <w:tcW w:w="3305" w:type="dxa"/>
            <w:tcBorders>
              <w:top w:val="single" w:sz="4" w:space="0" w:color="auto"/>
              <w:left w:val="single" w:sz="4" w:space="0" w:color="auto"/>
              <w:bottom w:val="single" w:sz="4" w:space="0" w:color="auto"/>
              <w:right w:val="single" w:sz="4" w:space="0" w:color="auto"/>
            </w:tcBorders>
            <w:vAlign w:val="center"/>
            <w:hideMark/>
          </w:tcPr>
          <w:p w14:paraId="37A25817" w14:textId="77777777"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Private candidates</w:t>
            </w:r>
          </w:p>
        </w:tc>
        <w:tc>
          <w:tcPr>
            <w:tcW w:w="6188" w:type="dxa"/>
            <w:tcBorders>
              <w:top w:val="single" w:sz="4" w:space="0" w:color="auto"/>
              <w:left w:val="single" w:sz="4" w:space="0" w:color="auto"/>
              <w:bottom w:val="single" w:sz="4" w:space="0" w:color="auto"/>
              <w:right w:val="single" w:sz="4" w:space="0" w:color="auto"/>
            </w:tcBorders>
            <w:vAlign w:val="center"/>
            <w:hideMark/>
          </w:tcPr>
          <w:p w14:paraId="6A1A4A30" w14:textId="77777777" w:rsidR="009607DB" w:rsidRPr="002E1CDA" w:rsidRDefault="009607DB">
            <w:pPr>
              <w:jc w:val="both"/>
              <w:rPr>
                <w:rFonts w:asciiTheme="minorHAnsi" w:hAnsiTheme="minorHAnsi" w:cstheme="minorHAnsi"/>
                <w:sz w:val="20"/>
              </w:rPr>
            </w:pPr>
            <w:r w:rsidRPr="002E1CDA">
              <w:rPr>
                <w:rFonts w:asciiTheme="minorHAnsi" w:hAnsiTheme="minorHAnsi" w:cstheme="minorHAnsi"/>
                <w:sz w:val="20"/>
              </w:rPr>
              <w:t xml:space="preserve">Examination fee plus administrative fee </w:t>
            </w:r>
          </w:p>
        </w:tc>
      </w:tr>
    </w:tbl>
    <w:p w14:paraId="5A1C1962" w14:textId="77777777" w:rsidR="009607DB" w:rsidRPr="002E1CDA" w:rsidRDefault="009607DB" w:rsidP="009607DB">
      <w:pPr>
        <w:jc w:val="both"/>
        <w:rPr>
          <w:rFonts w:asciiTheme="minorHAnsi" w:hAnsiTheme="minorHAnsi" w:cstheme="minorHAnsi"/>
          <w:sz w:val="20"/>
          <w:lang w:val="en-US"/>
        </w:rPr>
      </w:pPr>
    </w:p>
    <w:p w14:paraId="0306B0CD" w14:textId="77777777" w:rsidR="009607DB" w:rsidRPr="002E1CDA" w:rsidRDefault="009607DB" w:rsidP="009607DB">
      <w:pPr>
        <w:jc w:val="both"/>
        <w:rPr>
          <w:rFonts w:asciiTheme="minorHAnsi" w:hAnsiTheme="minorHAnsi" w:cstheme="minorHAnsi"/>
          <w:sz w:val="20"/>
        </w:rPr>
      </w:pPr>
    </w:p>
    <w:p w14:paraId="32B9670A"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b/>
          <w:sz w:val="20"/>
        </w:rPr>
        <w:t>Instalment arrangements for students paying their own fees</w:t>
      </w:r>
      <w:r w:rsidRPr="002E1CDA">
        <w:rPr>
          <w:rFonts w:asciiTheme="minorHAnsi" w:hAnsiTheme="minorHAnsi" w:cstheme="minorHAnsi"/>
          <w:b/>
          <w:color w:val="FF0000"/>
          <w:sz w:val="20"/>
        </w:rPr>
        <w:t xml:space="preserve"> </w:t>
      </w:r>
    </w:p>
    <w:p w14:paraId="0DB2B7D1" w14:textId="77777777" w:rsidR="009607DB" w:rsidRPr="002E1CDA" w:rsidRDefault="009607DB" w:rsidP="009607DB">
      <w:pPr>
        <w:jc w:val="both"/>
        <w:rPr>
          <w:rFonts w:asciiTheme="minorHAnsi" w:hAnsiTheme="minorHAnsi" w:cstheme="minorHAnsi"/>
          <w:sz w:val="20"/>
        </w:rPr>
      </w:pPr>
    </w:p>
    <w:p w14:paraId="1C42747E"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 xml:space="preserve">ESFA Funded courses, Income Generation and HE: </w:t>
      </w:r>
    </w:p>
    <w:p w14:paraId="3C7BB5A7" w14:textId="77777777" w:rsidR="009607DB" w:rsidRPr="002E1CDA" w:rsidRDefault="009607DB" w:rsidP="009607DB">
      <w:pPr>
        <w:jc w:val="both"/>
        <w:rPr>
          <w:rFonts w:asciiTheme="minorHAnsi" w:hAnsiTheme="minorHAnsi" w:cstheme="minorHAnsi"/>
          <w:sz w:val="20"/>
        </w:rPr>
      </w:pPr>
    </w:p>
    <w:p w14:paraId="70F4A420"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Instalment offer is subject to students meeting the terms and conditions.</w:t>
      </w:r>
    </w:p>
    <w:p w14:paraId="7449655E" w14:textId="77777777" w:rsidR="009607DB" w:rsidRPr="002E1CDA" w:rsidRDefault="009607DB" w:rsidP="009607DB">
      <w:pPr>
        <w:jc w:val="both"/>
        <w:rPr>
          <w:rFonts w:asciiTheme="minorHAnsi" w:hAnsiTheme="minorHAnsi" w:cstheme="minorHAnsi"/>
          <w:sz w:val="20"/>
        </w:rPr>
      </w:pPr>
    </w:p>
    <w:p w14:paraId="3EC2D031"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For enrolments taking place in September on a 1 year course, up to 8 instalments and up to 15 instalments for 2 year courses. The number of instalments decreases depending on the date of enrolment and length of course</w:t>
      </w:r>
    </w:p>
    <w:p w14:paraId="52B9CA2E" w14:textId="77777777" w:rsidR="009607DB" w:rsidRPr="002E1CDA" w:rsidRDefault="009607DB" w:rsidP="009607DB">
      <w:pPr>
        <w:jc w:val="both"/>
        <w:rPr>
          <w:rFonts w:asciiTheme="minorHAnsi" w:hAnsiTheme="minorHAnsi" w:cstheme="minorHAnsi"/>
          <w:sz w:val="20"/>
        </w:rPr>
      </w:pPr>
    </w:p>
    <w:p w14:paraId="3C8E3382"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First instalment is due at enrolment. See “Student Payment of Course Fees” document for further details</w:t>
      </w:r>
    </w:p>
    <w:p w14:paraId="365AD22D" w14:textId="77777777" w:rsidR="009607DB" w:rsidRPr="002E1CDA" w:rsidRDefault="009607DB" w:rsidP="009607DB">
      <w:pPr>
        <w:jc w:val="both"/>
        <w:rPr>
          <w:rFonts w:asciiTheme="minorHAnsi" w:hAnsiTheme="minorHAnsi" w:cstheme="minorHAnsi"/>
          <w:sz w:val="20"/>
        </w:rPr>
      </w:pPr>
    </w:p>
    <w:p w14:paraId="553DDAEB"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NB: For learners experiencing financial difficulties, it may be possible to make payment arrangements with Financial Services via automated collection from learner’s debit / credit cards.</w:t>
      </w:r>
    </w:p>
    <w:p w14:paraId="640B8AB4" w14:textId="77777777" w:rsidR="00D16A13" w:rsidRPr="002E1CDA" w:rsidRDefault="00D16A13" w:rsidP="009607DB">
      <w:pPr>
        <w:jc w:val="both"/>
        <w:rPr>
          <w:rFonts w:asciiTheme="minorHAnsi" w:hAnsiTheme="minorHAnsi" w:cstheme="minorHAnsi"/>
          <w:color w:val="FF0000"/>
          <w:sz w:val="20"/>
        </w:rPr>
      </w:pPr>
    </w:p>
    <w:p w14:paraId="47FFBE05" w14:textId="5AE888D5" w:rsidR="00A3307D" w:rsidRPr="002E1CDA" w:rsidRDefault="00A3307D" w:rsidP="00A3307D">
      <w:pPr>
        <w:jc w:val="both"/>
        <w:rPr>
          <w:rFonts w:asciiTheme="minorHAnsi" w:hAnsiTheme="minorHAnsi" w:cstheme="minorHAnsi"/>
          <w:sz w:val="20"/>
        </w:rPr>
      </w:pPr>
      <w:r w:rsidRPr="002E1CDA">
        <w:rPr>
          <w:rFonts w:asciiTheme="minorHAnsi" w:hAnsiTheme="minorHAnsi" w:cstheme="minorHAnsi"/>
          <w:sz w:val="20"/>
        </w:rPr>
        <w:t>In certain circumstances, the College may remove the option to pay by instalments when there is a risk that non-recovery of fees may result in the course not being financially viable.  The Deputy Chief Executive is delegated to approve an amendment where it makes commercial sense to do so.</w:t>
      </w:r>
    </w:p>
    <w:p w14:paraId="410449A7" w14:textId="77777777" w:rsidR="009607DB" w:rsidRPr="002E1CDA" w:rsidRDefault="009607DB" w:rsidP="009607DB">
      <w:pPr>
        <w:jc w:val="both"/>
        <w:rPr>
          <w:rFonts w:asciiTheme="minorHAnsi" w:hAnsiTheme="minorHAnsi" w:cstheme="minorHAnsi"/>
          <w:sz w:val="20"/>
        </w:rPr>
      </w:pPr>
    </w:p>
    <w:p w14:paraId="5C8A752A" w14:textId="77777777" w:rsidR="009607DB" w:rsidRPr="002E1CDA" w:rsidRDefault="009607DB" w:rsidP="009607DB">
      <w:pPr>
        <w:jc w:val="both"/>
        <w:rPr>
          <w:rFonts w:asciiTheme="minorHAnsi" w:hAnsiTheme="minorHAnsi" w:cstheme="minorHAnsi"/>
          <w:b/>
          <w:sz w:val="20"/>
        </w:rPr>
      </w:pPr>
      <w:r w:rsidRPr="002E1CDA">
        <w:rPr>
          <w:rFonts w:asciiTheme="minorHAnsi" w:hAnsiTheme="minorHAnsi" w:cstheme="minorHAnsi"/>
          <w:b/>
          <w:sz w:val="20"/>
        </w:rPr>
        <w:t>Apprenticeship fees</w:t>
      </w:r>
    </w:p>
    <w:p w14:paraId="46BDC2DF" w14:textId="77777777" w:rsidR="009607DB" w:rsidRPr="002E1CDA" w:rsidRDefault="009607DB" w:rsidP="009607DB">
      <w:pPr>
        <w:jc w:val="both"/>
        <w:rPr>
          <w:rFonts w:asciiTheme="minorHAnsi" w:hAnsiTheme="minorHAnsi" w:cstheme="minorHAnsi"/>
          <w:sz w:val="20"/>
        </w:rPr>
      </w:pPr>
    </w:p>
    <w:p w14:paraId="78E9AD17"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 xml:space="preserve">Employers should be encouraged to pay the full amount up front. Where instalments are requested the following will apply: </w:t>
      </w:r>
    </w:p>
    <w:p w14:paraId="37A24185" w14:textId="77777777" w:rsidR="009607DB" w:rsidRPr="002E1CDA" w:rsidRDefault="009607DB" w:rsidP="009607DB">
      <w:pPr>
        <w:jc w:val="both"/>
        <w:rPr>
          <w:rFonts w:asciiTheme="minorHAnsi" w:hAnsiTheme="minorHAnsi" w:cstheme="minorHAnsi"/>
          <w:sz w:val="20"/>
        </w:rPr>
      </w:pPr>
    </w:p>
    <w:p w14:paraId="66B85006" w14:textId="77777777" w:rsidR="009607DB" w:rsidRPr="002E1CDA" w:rsidRDefault="009607DB" w:rsidP="009607DB">
      <w:pPr>
        <w:pStyle w:val="ListParagraph"/>
        <w:numPr>
          <w:ilvl w:val="0"/>
          <w:numId w:val="32"/>
        </w:numPr>
        <w:spacing w:line="256" w:lineRule="auto"/>
        <w:jc w:val="both"/>
        <w:rPr>
          <w:rFonts w:asciiTheme="minorHAnsi" w:hAnsiTheme="minorHAnsi" w:cstheme="minorHAnsi"/>
          <w:sz w:val="20"/>
        </w:rPr>
      </w:pPr>
      <w:r w:rsidRPr="002E1CDA">
        <w:rPr>
          <w:rFonts w:asciiTheme="minorHAnsi" w:hAnsiTheme="minorHAnsi" w:cstheme="minorHAnsi"/>
          <w:sz w:val="20"/>
        </w:rPr>
        <w:t xml:space="preserve">For apprenticeships up to 2 years’ duration, employer contributions will be taking in two instalments with 50% upfront and 50% at three months. </w:t>
      </w:r>
    </w:p>
    <w:p w14:paraId="47E2E5AC" w14:textId="77777777" w:rsidR="009607DB" w:rsidRPr="002E1CDA" w:rsidRDefault="009607DB" w:rsidP="009607DB">
      <w:pPr>
        <w:pStyle w:val="ListParagraph"/>
        <w:numPr>
          <w:ilvl w:val="0"/>
          <w:numId w:val="32"/>
        </w:numPr>
        <w:spacing w:line="256" w:lineRule="auto"/>
        <w:jc w:val="both"/>
        <w:rPr>
          <w:rFonts w:asciiTheme="minorHAnsi" w:hAnsiTheme="minorHAnsi" w:cstheme="minorHAnsi"/>
          <w:sz w:val="20"/>
        </w:rPr>
      </w:pPr>
      <w:r w:rsidRPr="002E1CDA">
        <w:rPr>
          <w:rFonts w:asciiTheme="minorHAnsi" w:hAnsiTheme="minorHAnsi" w:cstheme="minorHAnsi"/>
          <w:sz w:val="20"/>
        </w:rPr>
        <w:t xml:space="preserve">For apprenticeships of 2 years or more, employer contributions will be taken in multiple instalments with 50% upfront and the balance of the remaining 50% split into equal parts and taken at the beginning of each remaining year. </w:t>
      </w:r>
    </w:p>
    <w:p w14:paraId="6691DC1C" w14:textId="77777777" w:rsidR="009607DB" w:rsidRPr="002E1CDA" w:rsidRDefault="009607DB" w:rsidP="009607DB">
      <w:pPr>
        <w:jc w:val="both"/>
        <w:rPr>
          <w:rFonts w:asciiTheme="minorHAnsi" w:hAnsiTheme="minorHAnsi" w:cstheme="minorHAnsi"/>
          <w:sz w:val="20"/>
        </w:rPr>
      </w:pPr>
    </w:p>
    <w:p w14:paraId="04B61C35" w14:textId="77777777" w:rsidR="009607DB" w:rsidRPr="002E1CDA" w:rsidRDefault="009607DB" w:rsidP="009607DB">
      <w:pPr>
        <w:jc w:val="both"/>
        <w:rPr>
          <w:rFonts w:asciiTheme="minorHAnsi" w:hAnsiTheme="minorHAnsi" w:cstheme="minorHAnsi"/>
          <w:sz w:val="20"/>
        </w:rPr>
      </w:pPr>
    </w:p>
    <w:p w14:paraId="5964BE4C"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If a learner withdraws, the college will retain the first 50% of the employer contribution.  The employer will be refunded the remaining 50% contribution pro rata over the duration of the framework.</w:t>
      </w:r>
    </w:p>
    <w:p w14:paraId="08E5476C" w14:textId="77777777" w:rsidR="009607DB" w:rsidRPr="002E1CDA" w:rsidRDefault="009607DB" w:rsidP="009607DB">
      <w:pPr>
        <w:jc w:val="both"/>
        <w:rPr>
          <w:rFonts w:asciiTheme="minorHAnsi" w:hAnsiTheme="minorHAnsi" w:cstheme="minorHAnsi"/>
          <w:sz w:val="20"/>
        </w:rPr>
      </w:pPr>
    </w:p>
    <w:p w14:paraId="38F1E193" w14:textId="1646F0D0" w:rsidR="00FD6CE5" w:rsidRPr="002E1CDA" w:rsidRDefault="00FD6CE5" w:rsidP="00FD6CE5">
      <w:pPr>
        <w:jc w:val="both"/>
        <w:rPr>
          <w:rFonts w:asciiTheme="minorHAnsi" w:hAnsiTheme="minorHAnsi" w:cstheme="minorHAnsi"/>
          <w:sz w:val="20"/>
        </w:rPr>
      </w:pPr>
      <w:r w:rsidRPr="002E1CDA">
        <w:rPr>
          <w:rFonts w:asciiTheme="minorHAnsi" w:hAnsiTheme="minorHAnsi" w:cstheme="minorHAnsi"/>
          <w:sz w:val="20"/>
        </w:rPr>
        <w:t>The Deputy Chief Executive is delegated to approve an amended payment schedule where it makes commercial sense to do so.</w:t>
      </w:r>
    </w:p>
    <w:p w14:paraId="69CF1D5D" w14:textId="77777777" w:rsidR="00FD6CE5" w:rsidRPr="002E1CDA" w:rsidRDefault="00FD6CE5" w:rsidP="009607DB">
      <w:pPr>
        <w:jc w:val="both"/>
        <w:rPr>
          <w:rFonts w:asciiTheme="minorHAnsi" w:hAnsiTheme="minorHAnsi" w:cstheme="minorHAnsi"/>
          <w:sz w:val="20"/>
        </w:rPr>
      </w:pPr>
    </w:p>
    <w:p w14:paraId="5EF1BD98" w14:textId="77777777" w:rsidR="009607DB" w:rsidRPr="002E1CDA" w:rsidRDefault="009607DB" w:rsidP="009607DB">
      <w:pPr>
        <w:jc w:val="both"/>
        <w:rPr>
          <w:rFonts w:asciiTheme="minorHAnsi" w:hAnsiTheme="minorHAnsi" w:cstheme="minorHAnsi"/>
          <w:b/>
          <w:sz w:val="20"/>
        </w:rPr>
      </w:pPr>
      <w:r w:rsidRPr="002E1CDA">
        <w:rPr>
          <w:rFonts w:asciiTheme="minorHAnsi" w:hAnsiTheme="minorHAnsi" w:cstheme="minorHAnsi"/>
          <w:b/>
          <w:sz w:val="20"/>
        </w:rPr>
        <w:t>Fee reassessment/refund</w:t>
      </w:r>
    </w:p>
    <w:p w14:paraId="7B03555E" w14:textId="77777777" w:rsidR="009607DB" w:rsidRPr="002E1CDA" w:rsidRDefault="009607DB" w:rsidP="009607DB">
      <w:pPr>
        <w:jc w:val="both"/>
        <w:rPr>
          <w:rFonts w:asciiTheme="minorHAnsi" w:hAnsiTheme="minorHAnsi" w:cstheme="minorHAnsi"/>
          <w:b/>
          <w:sz w:val="20"/>
        </w:rPr>
      </w:pPr>
    </w:p>
    <w:p w14:paraId="49EEFF98"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 xml:space="preserve">Fees are refundable in full if the College cancel the course. </w:t>
      </w:r>
    </w:p>
    <w:p w14:paraId="70D03B37" w14:textId="77777777" w:rsidR="009607DB" w:rsidRPr="002E1CDA" w:rsidRDefault="009607DB" w:rsidP="009607DB">
      <w:pPr>
        <w:jc w:val="both"/>
        <w:rPr>
          <w:rFonts w:asciiTheme="minorHAnsi" w:hAnsiTheme="minorHAnsi" w:cstheme="minorHAnsi"/>
          <w:sz w:val="20"/>
        </w:rPr>
      </w:pPr>
    </w:p>
    <w:p w14:paraId="7F7C9461"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 xml:space="preserve">In certain circumstances, students may be eligible for a refund/reassessment of the fee which is documented in the College Fee Reassessment / Refund. The student must complete the Student Application Form and in line with the policy, the College may authorise a refund for a proportionate amount of the tuition fee applicable to the remaining classes of the course which the student will be unable to attend. </w:t>
      </w:r>
    </w:p>
    <w:p w14:paraId="6955408D" w14:textId="77777777" w:rsidR="009607DB" w:rsidRPr="002E1CDA" w:rsidRDefault="009607DB" w:rsidP="009607DB">
      <w:pPr>
        <w:jc w:val="both"/>
        <w:rPr>
          <w:rFonts w:asciiTheme="minorHAnsi" w:hAnsiTheme="minorHAnsi" w:cstheme="minorHAnsi"/>
          <w:sz w:val="20"/>
        </w:rPr>
      </w:pPr>
    </w:p>
    <w:p w14:paraId="069A500C" w14:textId="77777777" w:rsidR="009607DB" w:rsidRPr="002E1CDA" w:rsidRDefault="009607DB" w:rsidP="009607DB">
      <w:pPr>
        <w:jc w:val="both"/>
        <w:rPr>
          <w:rFonts w:asciiTheme="minorHAnsi" w:hAnsiTheme="minorHAnsi" w:cstheme="minorHAnsi"/>
          <w:sz w:val="20"/>
        </w:rPr>
      </w:pPr>
      <w:r w:rsidRPr="002E1CDA">
        <w:rPr>
          <w:rFonts w:asciiTheme="minorHAnsi" w:hAnsiTheme="minorHAnsi" w:cstheme="minorHAnsi"/>
          <w:sz w:val="20"/>
        </w:rPr>
        <w:t xml:space="preserve">A copy of the College Fee Reassessment / Refund procedure is available upon request from the Finance Department. </w:t>
      </w:r>
    </w:p>
    <w:p w14:paraId="040C4BB2" w14:textId="77777777" w:rsidR="00A175E7" w:rsidRPr="002E1CDA" w:rsidRDefault="00A175E7" w:rsidP="00A175E7">
      <w:pPr>
        <w:spacing w:before="100" w:after="100"/>
        <w:rPr>
          <w:rFonts w:asciiTheme="minorHAnsi" w:hAnsiTheme="minorHAnsi" w:cstheme="minorHAnsi"/>
          <w:sz w:val="20"/>
        </w:rPr>
      </w:pPr>
    </w:p>
    <w:sectPr w:rsidR="00A175E7" w:rsidRPr="002E1CDA" w:rsidSect="002433EB">
      <w:headerReference w:type="default" r:id="rId2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CF13B" w14:textId="77777777" w:rsidR="00D63564" w:rsidRDefault="00D63564" w:rsidP="006F020A">
      <w:r>
        <w:separator/>
      </w:r>
    </w:p>
  </w:endnote>
  <w:endnote w:type="continuationSeparator" w:id="0">
    <w:p w14:paraId="5ADE5ED1" w14:textId="77777777" w:rsidR="00D63564" w:rsidRDefault="00D63564" w:rsidP="006F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70806"/>
      <w:docPartObj>
        <w:docPartGallery w:val="Page Numbers (Bottom of Page)"/>
        <w:docPartUnique/>
      </w:docPartObj>
    </w:sdtPr>
    <w:sdtEndPr>
      <w:rPr>
        <w:noProof/>
      </w:rPr>
    </w:sdtEndPr>
    <w:sdtContent>
      <w:p w14:paraId="03A73E05" w14:textId="3EBF2978" w:rsidR="003C6104" w:rsidRDefault="003C6104">
        <w:pPr>
          <w:pStyle w:val="Footer"/>
          <w:jc w:val="right"/>
        </w:pPr>
        <w:r w:rsidRPr="00270C46">
          <w:rPr>
            <w:rFonts w:ascii="Arial" w:hAnsi="Arial" w:cs="Arial"/>
            <w:sz w:val="18"/>
            <w:szCs w:val="18"/>
          </w:rPr>
          <w:fldChar w:fldCharType="begin"/>
        </w:r>
        <w:r w:rsidRPr="00270C46">
          <w:rPr>
            <w:rFonts w:ascii="Arial" w:hAnsi="Arial" w:cs="Arial"/>
            <w:sz w:val="18"/>
            <w:szCs w:val="18"/>
          </w:rPr>
          <w:instrText xml:space="preserve"> PAGE   \* MERGEFORMAT </w:instrText>
        </w:r>
        <w:r w:rsidRPr="00270C46">
          <w:rPr>
            <w:rFonts w:ascii="Arial" w:hAnsi="Arial" w:cs="Arial"/>
            <w:sz w:val="18"/>
            <w:szCs w:val="18"/>
          </w:rPr>
          <w:fldChar w:fldCharType="separate"/>
        </w:r>
        <w:r w:rsidR="0044047B">
          <w:rPr>
            <w:rFonts w:ascii="Arial" w:hAnsi="Arial" w:cs="Arial"/>
            <w:noProof/>
            <w:sz w:val="18"/>
            <w:szCs w:val="18"/>
          </w:rPr>
          <w:t>1</w:t>
        </w:r>
        <w:r w:rsidRPr="00270C46">
          <w:rPr>
            <w:rFonts w:ascii="Arial" w:hAnsi="Arial" w:cs="Arial"/>
            <w:noProof/>
            <w:sz w:val="18"/>
            <w:szCs w:val="18"/>
          </w:rPr>
          <w:fldChar w:fldCharType="end"/>
        </w:r>
      </w:p>
    </w:sdtContent>
  </w:sdt>
  <w:p w14:paraId="42030522" w14:textId="77777777" w:rsidR="003C6104" w:rsidRDefault="003C61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9257B" w14:textId="77777777" w:rsidR="00D63564" w:rsidRDefault="00D63564" w:rsidP="006F020A">
      <w:r>
        <w:separator/>
      </w:r>
    </w:p>
  </w:footnote>
  <w:footnote w:type="continuationSeparator" w:id="0">
    <w:p w14:paraId="12F70058" w14:textId="77777777" w:rsidR="00D63564" w:rsidRDefault="00D63564" w:rsidP="006F0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504D" w14:textId="274D3843" w:rsidR="00CE6FAE" w:rsidRDefault="00CE6FAE">
    <w:pPr>
      <w:pStyle w:val="Header"/>
    </w:pPr>
    <w:r>
      <w:rPr>
        <w:rFonts w:ascii="Arial" w:hAnsi="Arial" w:cs="Arial"/>
        <w:b/>
        <w:noProof/>
        <w:sz w:val="44"/>
        <w:lang w:val="en-US"/>
      </w:rPr>
      <w:drawing>
        <wp:anchor distT="0" distB="0" distL="114300" distR="114300" simplePos="0" relativeHeight="251659264" behindDoc="1" locked="0" layoutInCell="1" allowOverlap="1" wp14:anchorId="587417EA" wp14:editId="2CEC8580">
          <wp:simplePos x="0" y="0"/>
          <wp:positionH relativeFrom="margin">
            <wp:posOffset>4283710</wp:posOffset>
          </wp:positionH>
          <wp:positionV relativeFrom="paragraph">
            <wp:posOffset>-268605</wp:posOffset>
          </wp:positionV>
          <wp:extent cx="2057400" cy="8269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C logo.jpg"/>
                  <pic:cNvPicPr/>
                </pic:nvPicPr>
                <pic:blipFill>
                  <a:blip r:embed="rId1">
                    <a:extLst>
                      <a:ext uri="{28A0092B-C50C-407E-A947-70E740481C1C}">
                        <a14:useLocalDpi xmlns:a14="http://schemas.microsoft.com/office/drawing/2010/main" val="0"/>
                      </a:ext>
                    </a:extLst>
                  </a:blip>
                  <a:stretch>
                    <a:fillRect/>
                  </a:stretch>
                </pic:blipFill>
                <pic:spPr>
                  <a:xfrm>
                    <a:off x="0" y="0"/>
                    <a:ext cx="2057400" cy="8269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A66B" w14:textId="5189810F" w:rsidR="00CE6FAE" w:rsidRDefault="00CE6F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293"/>
    <w:multiLevelType w:val="hybridMultilevel"/>
    <w:tmpl w:val="5582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B2B0C"/>
    <w:multiLevelType w:val="hybridMultilevel"/>
    <w:tmpl w:val="45DC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80C2A"/>
    <w:multiLevelType w:val="hybridMultilevel"/>
    <w:tmpl w:val="ACBC5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3B31E64"/>
    <w:multiLevelType w:val="hybridMultilevel"/>
    <w:tmpl w:val="40CE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53DC"/>
    <w:multiLevelType w:val="hybridMultilevel"/>
    <w:tmpl w:val="3A4AA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6854AAF"/>
    <w:multiLevelType w:val="hybridMultilevel"/>
    <w:tmpl w:val="86B0B53A"/>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6">
    <w:nsid w:val="074D3F1D"/>
    <w:multiLevelType w:val="hybridMultilevel"/>
    <w:tmpl w:val="042ED40A"/>
    <w:lvl w:ilvl="0" w:tplc="836688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C2499F"/>
    <w:multiLevelType w:val="hybridMultilevel"/>
    <w:tmpl w:val="CC044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F05614A"/>
    <w:multiLevelType w:val="hybridMultilevel"/>
    <w:tmpl w:val="33362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890F00"/>
    <w:multiLevelType w:val="hybridMultilevel"/>
    <w:tmpl w:val="2BB87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B541C7F"/>
    <w:multiLevelType w:val="hybridMultilevel"/>
    <w:tmpl w:val="C59C6E40"/>
    <w:lvl w:ilvl="0" w:tplc="E8C462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C50D8"/>
    <w:multiLevelType w:val="hybridMultilevel"/>
    <w:tmpl w:val="67D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C20102"/>
    <w:multiLevelType w:val="hybridMultilevel"/>
    <w:tmpl w:val="B824E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EAD7A6E"/>
    <w:multiLevelType w:val="multilevel"/>
    <w:tmpl w:val="2132E806"/>
    <w:lvl w:ilvl="0">
      <w:start w:val="1"/>
      <w:numFmt w:val="decimal"/>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1FF22CBF"/>
    <w:multiLevelType w:val="hybridMultilevel"/>
    <w:tmpl w:val="9EE06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F75907"/>
    <w:multiLevelType w:val="hybridMultilevel"/>
    <w:tmpl w:val="3B5A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F31EC0"/>
    <w:multiLevelType w:val="hybridMultilevel"/>
    <w:tmpl w:val="A904A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13364F"/>
    <w:multiLevelType w:val="hybridMultilevel"/>
    <w:tmpl w:val="68EEFD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2C810EB4"/>
    <w:multiLevelType w:val="hybridMultilevel"/>
    <w:tmpl w:val="74B2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E54904"/>
    <w:multiLevelType w:val="hybridMultilevel"/>
    <w:tmpl w:val="E9B6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B2312"/>
    <w:multiLevelType w:val="hybridMultilevel"/>
    <w:tmpl w:val="4EA2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DB6DF6"/>
    <w:multiLevelType w:val="hybridMultilevel"/>
    <w:tmpl w:val="929E5424"/>
    <w:lvl w:ilvl="0" w:tplc="B01A5942">
      <w:start w:val="1"/>
      <w:numFmt w:val="decimal"/>
      <w:lvlText w:val="(%1)"/>
      <w:lvlJc w:val="left"/>
      <w:pPr>
        <w:ind w:left="418" w:hanging="36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22">
    <w:nsid w:val="3F8A5475"/>
    <w:multiLevelType w:val="hybridMultilevel"/>
    <w:tmpl w:val="843C8A2C"/>
    <w:lvl w:ilvl="0" w:tplc="058AFF6E">
      <w:start w:val="1"/>
      <w:numFmt w:val="bullet"/>
      <w:lvlText w:val="-"/>
      <w:lvlJc w:val="left"/>
      <w:pPr>
        <w:ind w:left="1547" w:hanging="360"/>
      </w:pPr>
      <w:rPr>
        <w:rFonts w:ascii="Arial" w:eastAsia="Calibri" w:hAnsi="Arial" w:cs="Arial" w:hint="default"/>
      </w:rPr>
    </w:lvl>
    <w:lvl w:ilvl="1" w:tplc="08090003">
      <w:start w:val="1"/>
      <w:numFmt w:val="bullet"/>
      <w:lvlText w:val="o"/>
      <w:lvlJc w:val="left"/>
      <w:pPr>
        <w:ind w:left="2267" w:hanging="360"/>
      </w:pPr>
      <w:rPr>
        <w:rFonts w:ascii="Courier New" w:hAnsi="Courier New" w:cs="Courier New" w:hint="default"/>
      </w:rPr>
    </w:lvl>
    <w:lvl w:ilvl="2" w:tplc="08090005">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23">
    <w:nsid w:val="40385AF2"/>
    <w:multiLevelType w:val="hybridMultilevel"/>
    <w:tmpl w:val="62CA4B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067483"/>
    <w:multiLevelType w:val="hybridMultilevel"/>
    <w:tmpl w:val="30709D5A"/>
    <w:lvl w:ilvl="0" w:tplc="0BCCF77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42344CE"/>
    <w:multiLevelType w:val="hybridMultilevel"/>
    <w:tmpl w:val="C7B4E1D8"/>
    <w:lvl w:ilvl="0" w:tplc="13A03E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EB3D7C"/>
    <w:multiLevelType w:val="multilevel"/>
    <w:tmpl w:val="0630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BC2EF4"/>
    <w:multiLevelType w:val="hybridMultilevel"/>
    <w:tmpl w:val="FB3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1B0A33"/>
    <w:multiLevelType w:val="hybridMultilevel"/>
    <w:tmpl w:val="A0E4E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074645"/>
    <w:multiLevelType w:val="hybridMultilevel"/>
    <w:tmpl w:val="071A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2D142B"/>
    <w:multiLevelType w:val="hybridMultilevel"/>
    <w:tmpl w:val="B63C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CF7D08"/>
    <w:multiLevelType w:val="hybridMultilevel"/>
    <w:tmpl w:val="E78EB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8635DCF"/>
    <w:multiLevelType w:val="hybridMultilevel"/>
    <w:tmpl w:val="0C86D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8F7178D"/>
    <w:multiLevelType w:val="hybridMultilevel"/>
    <w:tmpl w:val="883E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7B5F7A"/>
    <w:multiLevelType w:val="hybridMultilevel"/>
    <w:tmpl w:val="272E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A579C9"/>
    <w:multiLevelType w:val="hybridMultilevel"/>
    <w:tmpl w:val="AD288B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nsid w:val="747342DD"/>
    <w:multiLevelType w:val="hybridMultilevel"/>
    <w:tmpl w:val="10EA1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B820AE7"/>
    <w:multiLevelType w:val="hybridMultilevel"/>
    <w:tmpl w:val="8D9290C4"/>
    <w:lvl w:ilvl="0" w:tplc="08090001">
      <w:start w:val="1"/>
      <w:numFmt w:val="bullet"/>
      <w:lvlText w:val=""/>
      <w:lvlJc w:val="left"/>
      <w:pPr>
        <w:ind w:left="720" w:hanging="360"/>
      </w:pPr>
      <w:rPr>
        <w:rFonts w:ascii="Symbol" w:hAnsi="Symbol" w:hint="default"/>
      </w:rPr>
    </w:lvl>
    <w:lvl w:ilvl="1" w:tplc="57F0F28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32"/>
  </w:num>
  <w:num w:numId="4">
    <w:abstractNumId w:val="7"/>
  </w:num>
  <w:num w:numId="5">
    <w:abstractNumId w:val="5"/>
  </w:num>
  <w:num w:numId="6">
    <w:abstractNumId w:val="2"/>
  </w:num>
  <w:num w:numId="7">
    <w:abstractNumId w:val="29"/>
  </w:num>
  <w:num w:numId="8">
    <w:abstractNumId w:val="1"/>
  </w:num>
  <w:num w:numId="9">
    <w:abstractNumId w:val="34"/>
  </w:num>
  <w:num w:numId="10">
    <w:abstractNumId w:val="36"/>
  </w:num>
  <w:num w:numId="11">
    <w:abstractNumId w:val="10"/>
  </w:num>
  <w:num w:numId="12">
    <w:abstractNumId w:val="33"/>
  </w:num>
  <w:num w:numId="13">
    <w:abstractNumId w:val="12"/>
  </w:num>
  <w:num w:numId="14">
    <w:abstractNumId w:val="17"/>
  </w:num>
  <w:num w:numId="15">
    <w:abstractNumId w:val="3"/>
  </w:num>
  <w:num w:numId="16">
    <w:abstractNumId w:val="4"/>
  </w:num>
  <w:num w:numId="17">
    <w:abstractNumId w:val="9"/>
  </w:num>
  <w:num w:numId="18">
    <w:abstractNumId w:val="8"/>
  </w:num>
  <w:num w:numId="19">
    <w:abstractNumId w:val="28"/>
  </w:num>
  <w:num w:numId="20">
    <w:abstractNumId w:val="20"/>
  </w:num>
  <w:num w:numId="21">
    <w:abstractNumId w:val="11"/>
  </w:num>
  <w:num w:numId="22">
    <w:abstractNumId w:val="0"/>
  </w:num>
  <w:num w:numId="23">
    <w:abstractNumId w:val="19"/>
  </w:num>
  <w:num w:numId="24">
    <w:abstractNumId w:val="27"/>
  </w:num>
  <w:num w:numId="25">
    <w:abstractNumId w:val="25"/>
  </w:num>
  <w:num w:numId="26">
    <w:abstractNumId w:val="6"/>
  </w:num>
  <w:num w:numId="27">
    <w:abstractNumId w:val="18"/>
  </w:num>
  <w:num w:numId="28">
    <w:abstractNumId w:val="15"/>
  </w:num>
  <w:num w:numId="29">
    <w:abstractNumId w:val="16"/>
  </w:num>
  <w:num w:numId="30">
    <w:abstractNumId w:val="35"/>
  </w:num>
  <w:num w:numId="31">
    <w:abstractNumId w:val="37"/>
  </w:num>
  <w:num w:numId="32">
    <w:abstractNumId w:val="31"/>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2"/>
  </w:num>
  <w:num w:numId="37">
    <w:abstractNumId w:val="23"/>
  </w:num>
  <w:num w:numId="38">
    <w:abstractNumId w:val="21"/>
  </w:num>
  <w:num w:numId="39">
    <w:abstractNumId w:val="1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5D"/>
    <w:rsid w:val="00005722"/>
    <w:rsid w:val="00005A20"/>
    <w:rsid w:val="000064F2"/>
    <w:rsid w:val="00007942"/>
    <w:rsid w:val="000101FF"/>
    <w:rsid w:val="00010ACE"/>
    <w:rsid w:val="000125D6"/>
    <w:rsid w:val="00012B9D"/>
    <w:rsid w:val="000159D3"/>
    <w:rsid w:val="000168EE"/>
    <w:rsid w:val="000176C8"/>
    <w:rsid w:val="000179A0"/>
    <w:rsid w:val="00017D94"/>
    <w:rsid w:val="0002106F"/>
    <w:rsid w:val="00022B4A"/>
    <w:rsid w:val="0002549B"/>
    <w:rsid w:val="0003062D"/>
    <w:rsid w:val="00035658"/>
    <w:rsid w:val="00037C6F"/>
    <w:rsid w:val="000415C8"/>
    <w:rsid w:val="00041D3C"/>
    <w:rsid w:val="00043C6A"/>
    <w:rsid w:val="00045B33"/>
    <w:rsid w:val="00050983"/>
    <w:rsid w:val="00070547"/>
    <w:rsid w:val="000726CC"/>
    <w:rsid w:val="00081EC4"/>
    <w:rsid w:val="000821E8"/>
    <w:rsid w:val="000834F3"/>
    <w:rsid w:val="000850EF"/>
    <w:rsid w:val="00086C22"/>
    <w:rsid w:val="000900F9"/>
    <w:rsid w:val="0009601C"/>
    <w:rsid w:val="00096D1A"/>
    <w:rsid w:val="00097CE8"/>
    <w:rsid w:val="00097E87"/>
    <w:rsid w:val="000A1193"/>
    <w:rsid w:val="000A1A15"/>
    <w:rsid w:val="000A1E64"/>
    <w:rsid w:val="000A3889"/>
    <w:rsid w:val="000A3BF0"/>
    <w:rsid w:val="000A43D4"/>
    <w:rsid w:val="000A499E"/>
    <w:rsid w:val="000A529B"/>
    <w:rsid w:val="000A6D9A"/>
    <w:rsid w:val="000B3A77"/>
    <w:rsid w:val="000B627C"/>
    <w:rsid w:val="000C03BE"/>
    <w:rsid w:val="000C405E"/>
    <w:rsid w:val="000C40C3"/>
    <w:rsid w:val="000C513A"/>
    <w:rsid w:val="000C74D1"/>
    <w:rsid w:val="000D0EDC"/>
    <w:rsid w:val="000D4A67"/>
    <w:rsid w:val="000D68B9"/>
    <w:rsid w:val="000D7B93"/>
    <w:rsid w:val="000E1E44"/>
    <w:rsid w:val="000E1F93"/>
    <w:rsid w:val="000E58D5"/>
    <w:rsid w:val="000E5AA0"/>
    <w:rsid w:val="000F05F0"/>
    <w:rsid w:val="000F1B05"/>
    <w:rsid w:val="000F1E53"/>
    <w:rsid w:val="0010387C"/>
    <w:rsid w:val="001054B0"/>
    <w:rsid w:val="00105F51"/>
    <w:rsid w:val="00107554"/>
    <w:rsid w:val="00107B6A"/>
    <w:rsid w:val="00117B20"/>
    <w:rsid w:val="00123427"/>
    <w:rsid w:val="0012412B"/>
    <w:rsid w:val="00125E85"/>
    <w:rsid w:val="001341E5"/>
    <w:rsid w:val="00136D65"/>
    <w:rsid w:val="00141F4F"/>
    <w:rsid w:val="0014296E"/>
    <w:rsid w:val="00142E9D"/>
    <w:rsid w:val="001463CF"/>
    <w:rsid w:val="0014726F"/>
    <w:rsid w:val="00147CC2"/>
    <w:rsid w:val="0015217B"/>
    <w:rsid w:val="001535A4"/>
    <w:rsid w:val="0015625F"/>
    <w:rsid w:val="00160DC3"/>
    <w:rsid w:val="00165582"/>
    <w:rsid w:val="00165830"/>
    <w:rsid w:val="00166835"/>
    <w:rsid w:val="00172573"/>
    <w:rsid w:val="00172E92"/>
    <w:rsid w:val="00175994"/>
    <w:rsid w:val="001771AB"/>
    <w:rsid w:val="00185D6B"/>
    <w:rsid w:val="00186393"/>
    <w:rsid w:val="00187A39"/>
    <w:rsid w:val="00191310"/>
    <w:rsid w:val="001A4773"/>
    <w:rsid w:val="001A4F30"/>
    <w:rsid w:val="001A5670"/>
    <w:rsid w:val="001A7167"/>
    <w:rsid w:val="001B02AC"/>
    <w:rsid w:val="001B70DD"/>
    <w:rsid w:val="001D0AA2"/>
    <w:rsid w:val="001D657E"/>
    <w:rsid w:val="001E6D68"/>
    <w:rsid w:val="001E7A6D"/>
    <w:rsid w:val="001E7D94"/>
    <w:rsid w:val="001F0C8B"/>
    <w:rsid w:val="001F2EFB"/>
    <w:rsid w:val="001F30EC"/>
    <w:rsid w:val="001F4B2F"/>
    <w:rsid w:val="001F74D7"/>
    <w:rsid w:val="0020313E"/>
    <w:rsid w:val="00211874"/>
    <w:rsid w:val="0021200F"/>
    <w:rsid w:val="002138BB"/>
    <w:rsid w:val="00223C75"/>
    <w:rsid w:val="00227524"/>
    <w:rsid w:val="00227EDD"/>
    <w:rsid w:val="002349B4"/>
    <w:rsid w:val="00235181"/>
    <w:rsid w:val="00236ACA"/>
    <w:rsid w:val="002422C9"/>
    <w:rsid w:val="00242AE0"/>
    <w:rsid w:val="002433EB"/>
    <w:rsid w:val="00245418"/>
    <w:rsid w:val="00245A66"/>
    <w:rsid w:val="002551CF"/>
    <w:rsid w:val="002557B0"/>
    <w:rsid w:val="0025711F"/>
    <w:rsid w:val="00260DC2"/>
    <w:rsid w:val="00261C98"/>
    <w:rsid w:val="00264221"/>
    <w:rsid w:val="00270C46"/>
    <w:rsid w:val="0027279D"/>
    <w:rsid w:val="002765F5"/>
    <w:rsid w:val="002771CF"/>
    <w:rsid w:val="00277CAC"/>
    <w:rsid w:val="00281301"/>
    <w:rsid w:val="00281B85"/>
    <w:rsid w:val="002828AC"/>
    <w:rsid w:val="0028462D"/>
    <w:rsid w:val="00284CED"/>
    <w:rsid w:val="002862C8"/>
    <w:rsid w:val="002902D4"/>
    <w:rsid w:val="0029076A"/>
    <w:rsid w:val="00292A07"/>
    <w:rsid w:val="00292B2A"/>
    <w:rsid w:val="0029492E"/>
    <w:rsid w:val="002A4D64"/>
    <w:rsid w:val="002B00AD"/>
    <w:rsid w:val="002B2742"/>
    <w:rsid w:val="002B447C"/>
    <w:rsid w:val="002C53CD"/>
    <w:rsid w:val="002C5C38"/>
    <w:rsid w:val="002C7158"/>
    <w:rsid w:val="002C79CE"/>
    <w:rsid w:val="002D7C84"/>
    <w:rsid w:val="002D7CCB"/>
    <w:rsid w:val="002E18D5"/>
    <w:rsid w:val="002E1CDA"/>
    <w:rsid w:val="002E3813"/>
    <w:rsid w:val="002E7630"/>
    <w:rsid w:val="002E7DE8"/>
    <w:rsid w:val="002F0C40"/>
    <w:rsid w:val="002F1A82"/>
    <w:rsid w:val="002F23C3"/>
    <w:rsid w:val="002F3631"/>
    <w:rsid w:val="002F6B5F"/>
    <w:rsid w:val="002F7197"/>
    <w:rsid w:val="00307C64"/>
    <w:rsid w:val="003119EE"/>
    <w:rsid w:val="003203F2"/>
    <w:rsid w:val="0032209C"/>
    <w:rsid w:val="00322E46"/>
    <w:rsid w:val="00324C6F"/>
    <w:rsid w:val="00325EA6"/>
    <w:rsid w:val="00332FE5"/>
    <w:rsid w:val="00337D07"/>
    <w:rsid w:val="003407F1"/>
    <w:rsid w:val="0034212C"/>
    <w:rsid w:val="00351178"/>
    <w:rsid w:val="0035189B"/>
    <w:rsid w:val="003526FC"/>
    <w:rsid w:val="00362EF5"/>
    <w:rsid w:val="003647C9"/>
    <w:rsid w:val="00367713"/>
    <w:rsid w:val="00371634"/>
    <w:rsid w:val="003747AE"/>
    <w:rsid w:val="0038141A"/>
    <w:rsid w:val="00382E33"/>
    <w:rsid w:val="00383827"/>
    <w:rsid w:val="003868DD"/>
    <w:rsid w:val="00390C7A"/>
    <w:rsid w:val="0039116D"/>
    <w:rsid w:val="003929B3"/>
    <w:rsid w:val="003940BC"/>
    <w:rsid w:val="00396B86"/>
    <w:rsid w:val="003A1196"/>
    <w:rsid w:val="003A5CF7"/>
    <w:rsid w:val="003A634C"/>
    <w:rsid w:val="003A66C3"/>
    <w:rsid w:val="003A7D4F"/>
    <w:rsid w:val="003B24F3"/>
    <w:rsid w:val="003B420E"/>
    <w:rsid w:val="003B7488"/>
    <w:rsid w:val="003C5F2F"/>
    <w:rsid w:val="003C6104"/>
    <w:rsid w:val="003C6A0D"/>
    <w:rsid w:val="003D3654"/>
    <w:rsid w:val="003D4CC1"/>
    <w:rsid w:val="003D5CEB"/>
    <w:rsid w:val="003D79AA"/>
    <w:rsid w:val="003E5004"/>
    <w:rsid w:val="003E69E2"/>
    <w:rsid w:val="003E737C"/>
    <w:rsid w:val="003E7B3C"/>
    <w:rsid w:val="003F20C9"/>
    <w:rsid w:val="003F4019"/>
    <w:rsid w:val="003F450A"/>
    <w:rsid w:val="003F7123"/>
    <w:rsid w:val="0040109F"/>
    <w:rsid w:val="00402322"/>
    <w:rsid w:val="00413571"/>
    <w:rsid w:val="004163CE"/>
    <w:rsid w:val="00417658"/>
    <w:rsid w:val="004226A1"/>
    <w:rsid w:val="004238B5"/>
    <w:rsid w:val="0042549D"/>
    <w:rsid w:val="00426AE1"/>
    <w:rsid w:val="004270F8"/>
    <w:rsid w:val="00436B6B"/>
    <w:rsid w:val="004375AD"/>
    <w:rsid w:val="0044047B"/>
    <w:rsid w:val="00441550"/>
    <w:rsid w:val="00441B55"/>
    <w:rsid w:val="00446177"/>
    <w:rsid w:val="0044775A"/>
    <w:rsid w:val="00450782"/>
    <w:rsid w:val="0045545C"/>
    <w:rsid w:val="0045551B"/>
    <w:rsid w:val="00455B37"/>
    <w:rsid w:val="004632D8"/>
    <w:rsid w:val="00466EF5"/>
    <w:rsid w:val="004700AE"/>
    <w:rsid w:val="00471EFA"/>
    <w:rsid w:val="0047521E"/>
    <w:rsid w:val="004773DC"/>
    <w:rsid w:val="00487737"/>
    <w:rsid w:val="00487FCF"/>
    <w:rsid w:val="004929F4"/>
    <w:rsid w:val="0049569C"/>
    <w:rsid w:val="004958AB"/>
    <w:rsid w:val="004A1372"/>
    <w:rsid w:val="004A4716"/>
    <w:rsid w:val="004A48DE"/>
    <w:rsid w:val="004A6DD7"/>
    <w:rsid w:val="004B0727"/>
    <w:rsid w:val="004B246F"/>
    <w:rsid w:val="004B326C"/>
    <w:rsid w:val="004B4A8D"/>
    <w:rsid w:val="004B76D7"/>
    <w:rsid w:val="004B7727"/>
    <w:rsid w:val="004C4C70"/>
    <w:rsid w:val="004D0C8C"/>
    <w:rsid w:val="004D2C1C"/>
    <w:rsid w:val="004D7A4D"/>
    <w:rsid w:val="004E02EB"/>
    <w:rsid w:val="004E2A15"/>
    <w:rsid w:val="004E57AD"/>
    <w:rsid w:val="004E6F4E"/>
    <w:rsid w:val="004F1A85"/>
    <w:rsid w:val="004F4955"/>
    <w:rsid w:val="00500570"/>
    <w:rsid w:val="00503188"/>
    <w:rsid w:val="00504829"/>
    <w:rsid w:val="00506597"/>
    <w:rsid w:val="005108F6"/>
    <w:rsid w:val="00510DF4"/>
    <w:rsid w:val="00511AFE"/>
    <w:rsid w:val="005150CD"/>
    <w:rsid w:val="00515B32"/>
    <w:rsid w:val="0051689C"/>
    <w:rsid w:val="00520B8A"/>
    <w:rsid w:val="00522975"/>
    <w:rsid w:val="00524B2E"/>
    <w:rsid w:val="00535846"/>
    <w:rsid w:val="00535A70"/>
    <w:rsid w:val="005414E5"/>
    <w:rsid w:val="00541C7C"/>
    <w:rsid w:val="005474BD"/>
    <w:rsid w:val="0055176D"/>
    <w:rsid w:val="00553595"/>
    <w:rsid w:val="005539F8"/>
    <w:rsid w:val="00554CF0"/>
    <w:rsid w:val="00570367"/>
    <w:rsid w:val="005737B9"/>
    <w:rsid w:val="005809D0"/>
    <w:rsid w:val="00582BFE"/>
    <w:rsid w:val="005874B3"/>
    <w:rsid w:val="00592EF2"/>
    <w:rsid w:val="0059516C"/>
    <w:rsid w:val="005A2CDD"/>
    <w:rsid w:val="005A384C"/>
    <w:rsid w:val="005A5A2F"/>
    <w:rsid w:val="005A74FE"/>
    <w:rsid w:val="005A7AB7"/>
    <w:rsid w:val="005B0D1A"/>
    <w:rsid w:val="005B30D3"/>
    <w:rsid w:val="005B4B18"/>
    <w:rsid w:val="005B67C2"/>
    <w:rsid w:val="005C0E3E"/>
    <w:rsid w:val="005C4B7C"/>
    <w:rsid w:val="005C5B6D"/>
    <w:rsid w:val="005C6882"/>
    <w:rsid w:val="005C7C42"/>
    <w:rsid w:val="005D3418"/>
    <w:rsid w:val="005D6DB8"/>
    <w:rsid w:val="005E02A8"/>
    <w:rsid w:val="005E2DAA"/>
    <w:rsid w:val="005E3D84"/>
    <w:rsid w:val="005E79F6"/>
    <w:rsid w:val="005F1772"/>
    <w:rsid w:val="005F2465"/>
    <w:rsid w:val="005F381D"/>
    <w:rsid w:val="005F7D01"/>
    <w:rsid w:val="006000BC"/>
    <w:rsid w:val="00601F35"/>
    <w:rsid w:val="00603252"/>
    <w:rsid w:val="00604CF9"/>
    <w:rsid w:val="00606FF9"/>
    <w:rsid w:val="00610A12"/>
    <w:rsid w:val="00611E2E"/>
    <w:rsid w:val="00614281"/>
    <w:rsid w:val="00616E8E"/>
    <w:rsid w:val="00622DFC"/>
    <w:rsid w:val="00622E4A"/>
    <w:rsid w:val="00625CF7"/>
    <w:rsid w:val="00630446"/>
    <w:rsid w:val="00632A52"/>
    <w:rsid w:val="0063359D"/>
    <w:rsid w:val="00634072"/>
    <w:rsid w:val="00641A60"/>
    <w:rsid w:val="0064244A"/>
    <w:rsid w:val="00642615"/>
    <w:rsid w:val="0064669D"/>
    <w:rsid w:val="006466E3"/>
    <w:rsid w:val="00651060"/>
    <w:rsid w:val="00655165"/>
    <w:rsid w:val="006552A0"/>
    <w:rsid w:val="00676F11"/>
    <w:rsid w:val="0068186B"/>
    <w:rsid w:val="00681FA9"/>
    <w:rsid w:val="0068424E"/>
    <w:rsid w:val="00690989"/>
    <w:rsid w:val="00694C58"/>
    <w:rsid w:val="006965DB"/>
    <w:rsid w:val="006A1512"/>
    <w:rsid w:val="006A5234"/>
    <w:rsid w:val="006A661B"/>
    <w:rsid w:val="006B14A0"/>
    <w:rsid w:val="006B1FC9"/>
    <w:rsid w:val="006B5C84"/>
    <w:rsid w:val="006C1551"/>
    <w:rsid w:val="006C4D87"/>
    <w:rsid w:val="006C542B"/>
    <w:rsid w:val="006C55B3"/>
    <w:rsid w:val="006C73C5"/>
    <w:rsid w:val="006D16E7"/>
    <w:rsid w:val="006D53A0"/>
    <w:rsid w:val="006D5499"/>
    <w:rsid w:val="006E36EC"/>
    <w:rsid w:val="006E39B7"/>
    <w:rsid w:val="006F020A"/>
    <w:rsid w:val="006F1BCB"/>
    <w:rsid w:val="006F24DB"/>
    <w:rsid w:val="006F2B4D"/>
    <w:rsid w:val="006F5D2A"/>
    <w:rsid w:val="006F5DDC"/>
    <w:rsid w:val="006F6A4F"/>
    <w:rsid w:val="006F7B67"/>
    <w:rsid w:val="00700D1B"/>
    <w:rsid w:val="00701B75"/>
    <w:rsid w:val="007058BD"/>
    <w:rsid w:val="00706C2A"/>
    <w:rsid w:val="0070750C"/>
    <w:rsid w:val="00711AC4"/>
    <w:rsid w:val="00712293"/>
    <w:rsid w:val="00712FAE"/>
    <w:rsid w:val="007140A8"/>
    <w:rsid w:val="007220DC"/>
    <w:rsid w:val="0072332E"/>
    <w:rsid w:val="00723EE7"/>
    <w:rsid w:val="00723FEC"/>
    <w:rsid w:val="00727725"/>
    <w:rsid w:val="00727D2E"/>
    <w:rsid w:val="00732CCE"/>
    <w:rsid w:val="007345BB"/>
    <w:rsid w:val="00734DC6"/>
    <w:rsid w:val="0074265D"/>
    <w:rsid w:val="00750F08"/>
    <w:rsid w:val="00753F3C"/>
    <w:rsid w:val="007565F8"/>
    <w:rsid w:val="00757A27"/>
    <w:rsid w:val="00766C12"/>
    <w:rsid w:val="007672AF"/>
    <w:rsid w:val="00770D20"/>
    <w:rsid w:val="007716ED"/>
    <w:rsid w:val="00774AF0"/>
    <w:rsid w:val="00774C38"/>
    <w:rsid w:val="0077721C"/>
    <w:rsid w:val="00783984"/>
    <w:rsid w:val="00787FE4"/>
    <w:rsid w:val="007910FF"/>
    <w:rsid w:val="00796D1A"/>
    <w:rsid w:val="007A0336"/>
    <w:rsid w:val="007A1116"/>
    <w:rsid w:val="007A185A"/>
    <w:rsid w:val="007A3BC2"/>
    <w:rsid w:val="007A6927"/>
    <w:rsid w:val="007B68F6"/>
    <w:rsid w:val="007C0030"/>
    <w:rsid w:val="007C4F9F"/>
    <w:rsid w:val="007D2450"/>
    <w:rsid w:val="007D6C68"/>
    <w:rsid w:val="007E1A80"/>
    <w:rsid w:val="007E7B59"/>
    <w:rsid w:val="007F106D"/>
    <w:rsid w:val="007F3E8D"/>
    <w:rsid w:val="00805DE4"/>
    <w:rsid w:val="008107B6"/>
    <w:rsid w:val="0081311F"/>
    <w:rsid w:val="00815A8C"/>
    <w:rsid w:val="00816E54"/>
    <w:rsid w:val="00822715"/>
    <w:rsid w:val="008234EF"/>
    <w:rsid w:val="008252E5"/>
    <w:rsid w:val="00825E62"/>
    <w:rsid w:val="00827E16"/>
    <w:rsid w:val="008316BB"/>
    <w:rsid w:val="00836387"/>
    <w:rsid w:val="00840AE6"/>
    <w:rsid w:val="008412A2"/>
    <w:rsid w:val="00844BBF"/>
    <w:rsid w:val="0084532D"/>
    <w:rsid w:val="00851E07"/>
    <w:rsid w:val="00852A17"/>
    <w:rsid w:val="00853862"/>
    <w:rsid w:val="00857782"/>
    <w:rsid w:val="00857B64"/>
    <w:rsid w:val="0086265F"/>
    <w:rsid w:val="00863098"/>
    <w:rsid w:val="00865CC4"/>
    <w:rsid w:val="00873154"/>
    <w:rsid w:val="00884EFB"/>
    <w:rsid w:val="0088602D"/>
    <w:rsid w:val="00886CCE"/>
    <w:rsid w:val="00890E6D"/>
    <w:rsid w:val="008936C5"/>
    <w:rsid w:val="00893CDB"/>
    <w:rsid w:val="008A3BF1"/>
    <w:rsid w:val="008A59CE"/>
    <w:rsid w:val="008A5C80"/>
    <w:rsid w:val="008A6262"/>
    <w:rsid w:val="008A63C6"/>
    <w:rsid w:val="008A747E"/>
    <w:rsid w:val="008A76D4"/>
    <w:rsid w:val="008B66BC"/>
    <w:rsid w:val="008C1DA9"/>
    <w:rsid w:val="008C612C"/>
    <w:rsid w:val="008C7260"/>
    <w:rsid w:val="008D4352"/>
    <w:rsid w:val="008D5B9E"/>
    <w:rsid w:val="008D6C9D"/>
    <w:rsid w:val="008D7A49"/>
    <w:rsid w:val="008E0F20"/>
    <w:rsid w:val="008E166E"/>
    <w:rsid w:val="008F26E2"/>
    <w:rsid w:val="008F38A9"/>
    <w:rsid w:val="008F3A26"/>
    <w:rsid w:val="008F7576"/>
    <w:rsid w:val="009018AE"/>
    <w:rsid w:val="00902B03"/>
    <w:rsid w:val="00907944"/>
    <w:rsid w:val="00912078"/>
    <w:rsid w:val="009134C5"/>
    <w:rsid w:val="0091689D"/>
    <w:rsid w:val="009213A5"/>
    <w:rsid w:val="009245FE"/>
    <w:rsid w:val="00925379"/>
    <w:rsid w:val="009257F9"/>
    <w:rsid w:val="009274CE"/>
    <w:rsid w:val="00931648"/>
    <w:rsid w:val="00932F89"/>
    <w:rsid w:val="00933B01"/>
    <w:rsid w:val="00936FF3"/>
    <w:rsid w:val="00937646"/>
    <w:rsid w:val="00941CC1"/>
    <w:rsid w:val="00942355"/>
    <w:rsid w:val="00947575"/>
    <w:rsid w:val="0095021B"/>
    <w:rsid w:val="00952B96"/>
    <w:rsid w:val="009547AF"/>
    <w:rsid w:val="00957F1A"/>
    <w:rsid w:val="009607DB"/>
    <w:rsid w:val="00966519"/>
    <w:rsid w:val="00971D34"/>
    <w:rsid w:val="00971D6C"/>
    <w:rsid w:val="00971E33"/>
    <w:rsid w:val="00986A8D"/>
    <w:rsid w:val="009946AC"/>
    <w:rsid w:val="009956FE"/>
    <w:rsid w:val="00996882"/>
    <w:rsid w:val="009A1B17"/>
    <w:rsid w:val="009A3BAF"/>
    <w:rsid w:val="009A4444"/>
    <w:rsid w:val="009B1844"/>
    <w:rsid w:val="009C39B5"/>
    <w:rsid w:val="009C4F8C"/>
    <w:rsid w:val="009C5A72"/>
    <w:rsid w:val="009C79A9"/>
    <w:rsid w:val="009C7DC5"/>
    <w:rsid w:val="009D1BB3"/>
    <w:rsid w:val="009D478B"/>
    <w:rsid w:val="009D5AC3"/>
    <w:rsid w:val="009D68C3"/>
    <w:rsid w:val="009D7A11"/>
    <w:rsid w:val="009E2DC5"/>
    <w:rsid w:val="009E3A86"/>
    <w:rsid w:val="009E5693"/>
    <w:rsid w:val="009F16ED"/>
    <w:rsid w:val="009F1C06"/>
    <w:rsid w:val="009F2482"/>
    <w:rsid w:val="009F4585"/>
    <w:rsid w:val="009F4BBC"/>
    <w:rsid w:val="009F55E7"/>
    <w:rsid w:val="009F65C5"/>
    <w:rsid w:val="00A0214D"/>
    <w:rsid w:val="00A069B0"/>
    <w:rsid w:val="00A12821"/>
    <w:rsid w:val="00A15443"/>
    <w:rsid w:val="00A175E7"/>
    <w:rsid w:val="00A23234"/>
    <w:rsid w:val="00A26033"/>
    <w:rsid w:val="00A269F9"/>
    <w:rsid w:val="00A30FB3"/>
    <w:rsid w:val="00A3307D"/>
    <w:rsid w:val="00A34E47"/>
    <w:rsid w:val="00A35309"/>
    <w:rsid w:val="00A3568F"/>
    <w:rsid w:val="00A41B8B"/>
    <w:rsid w:val="00A47213"/>
    <w:rsid w:val="00A557C4"/>
    <w:rsid w:val="00A6110C"/>
    <w:rsid w:val="00A625FE"/>
    <w:rsid w:val="00A6771B"/>
    <w:rsid w:val="00A72BFB"/>
    <w:rsid w:val="00A75C3E"/>
    <w:rsid w:val="00A87DED"/>
    <w:rsid w:val="00A91B86"/>
    <w:rsid w:val="00A9582C"/>
    <w:rsid w:val="00AA07AB"/>
    <w:rsid w:val="00AA1168"/>
    <w:rsid w:val="00AA2E86"/>
    <w:rsid w:val="00AA2FD7"/>
    <w:rsid w:val="00AA6752"/>
    <w:rsid w:val="00AA6AB6"/>
    <w:rsid w:val="00AA6F97"/>
    <w:rsid w:val="00AB38C9"/>
    <w:rsid w:val="00AB43C6"/>
    <w:rsid w:val="00AC0EE5"/>
    <w:rsid w:val="00AC11E3"/>
    <w:rsid w:val="00AC19C4"/>
    <w:rsid w:val="00AC6FC0"/>
    <w:rsid w:val="00AC76A9"/>
    <w:rsid w:val="00AD0529"/>
    <w:rsid w:val="00AD123B"/>
    <w:rsid w:val="00AD7EA3"/>
    <w:rsid w:val="00AE0A40"/>
    <w:rsid w:val="00AE2CF8"/>
    <w:rsid w:val="00AE4040"/>
    <w:rsid w:val="00AF4D2A"/>
    <w:rsid w:val="00AF6A60"/>
    <w:rsid w:val="00B00F34"/>
    <w:rsid w:val="00B02415"/>
    <w:rsid w:val="00B0251C"/>
    <w:rsid w:val="00B0391A"/>
    <w:rsid w:val="00B115D4"/>
    <w:rsid w:val="00B11D68"/>
    <w:rsid w:val="00B1299F"/>
    <w:rsid w:val="00B150AE"/>
    <w:rsid w:val="00B15144"/>
    <w:rsid w:val="00B1775F"/>
    <w:rsid w:val="00B230AE"/>
    <w:rsid w:val="00B237B2"/>
    <w:rsid w:val="00B26A55"/>
    <w:rsid w:val="00B27225"/>
    <w:rsid w:val="00B276F2"/>
    <w:rsid w:val="00B32AF0"/>
    <w:rsid w:val="00B33383"/>
    <w:rsid w:val="00B373AC"/>
    <w:rsid w:val="00B468D4"/>
    <w:rsid w:val="00B50E74"/>
    <w:rsid w:val="00B51CE5"/>
    <w:rsid w:val="00B54D17"/>
    <w:rsid w:val="00B5559E"/>
    <w:rsid w:val="00B60EE0"/>
    <w:rsid w:val="00B66FDD"/>
    <w:rsid w:val="00B70646"/>
    <w:rsid w:val="00B72344"/>
    <w:rsid w:val="00B72A80"/>
    <w:rsid w:val="00B72CDD"/>
    <w:rsid w:val="00B77705"/>
    <w:rsid w:val="00B80F02"/>
    <w:rsid w:val="00B814BC"/>
    <w:rsid w:val="00B81973"/>
    <w:rsid w:val="00B81DE7"/>
    <w:rsid w:val="00B87F0B"/>
    <w:rsid w:val="00B9216D"/>
    <w:rsid w:val="00B94E8F"/>
    <w:rsid w:val="00BA14AC"/>
    <w:rsid w:val="00BA6A9D"/>
    <w:rsid w:val="00BA6BAE"/>
    <w:rsid w:val="00BA7762"/>
    <w:rsid w:val="00BB2090"/>
    <w:rsid w:val="00BB31C5"/>
    <w:rsid w:val="00BB50A6"/>
    <w:rsid w:val="00BB7666"/>
    <w:rsid w:val="00BC6FFB"/>
    <w:rsid w:val="00BC7BC5"/>
    <w:rsid w:val="00BC7EAA"/>
    <w:rsid w:val="00BD07EE"/>
    <w:rsid w:val="00BD1567"/>
    <w:rsid w:val="00BD2353"/>
    <w:rsid w:val="00BD28FE"/>
    <w:rsid w:val="00BD5203"/>
    <w:rsid w:val="00BD5B92"/>
    <w:rsid w:val="00BD75E1"/>
    <w:rsid w:val="00BE1138"/>
    <w:rsid w:val="00BE2C43"/>
    <w:rsid w:val="00BE453B"/>
    <w:rsid w:val="00BE7B40"/>
    <w:rsid w:val="00BF3B26"/>
    <w:rsid w:val="00BF4127"/>
    <w:rsid w:val="00BF5F8E"/>
    <w:rsid w:val="00C05BA7"/>
    <w:rsid w:val="00C10D65"/>
    <w:rsid w:val="00C1186B"/>
    <w:rsid w:val="00C134D6"/>
    <w:rsid w:val="00C151AE"/>
    <w:rsid w:val="00C20285"/>
    <w:rsid w:val="00C20542"/>
    <w:rsid w:val="00C23E2D"/>
    <w:rsid w:val="00C27AD7"/>
    <w:rsid w:val="00C3195F"/>
    <w:rsid w:val="00C329C6"/>
    <w:rsid w:val="00C406F4"/>
    <w:rsid w:val="00C51D34"/>
    <w:rsid w:val="00C520F8"/>
    <w:rsid w:val="00C5769B"/>
    <w:rsid w:val="00C6338C"/>
    <w:rsid w:val="00C654FE"/>
    <w:rsid w:val="00C665F0"/>
    <w:rsid w:val="00C71D52"/>
    <w:rsid w:val="00C75D57"/>
    <w:rsid w:val="00C80926"/>
    <w:rsid w:val="00C81F5C"/>
    <w:rsid w:val="00C843B9"/>
    <w:rsid w:val="00C844C6"/>
    <w:rsid w:val="00C90ABF"/>
    <w:rsid w:val="00C91A49"/>
    <w:rsid w:val="00C92647"/>
    <w:rsid w:val="00C930BF"/>
    <w:rsid w:val="00C96762"/>
    <w:rsid w:val="00C96C8C"/>
    <w:rsid w:val="00C97E14"/>
    <w:rsid w:val="00CA2FC8"/>
    <w:rsid w:val="00CB23A8"/>
    <w:rsid w:val="00CB61F6"/>
    <w:rsid w:val="00CC0D83"/>
    <w:rsid w:val="00CC0DA6"/>
    <w:rsid w:val="00CC27EE"/>
    <w:rsid w:val="00CC4826"/>
    <w:rsid w:val="00CC7FCB"/>
    <w:rsid w:val="00CE30BF"/>
    <w:rsid w:val="00CE6F0E"/>
    <w:rsid w:val="00CE6FAE"/>
    <w:rsid w:val="00CE76BC"/>
    <w:rsid w:val="00CF2500"/>
    <w:rsid w:val="00D01BB3"/>
    <w:rsid w:val="00D04966"/>
    <w:rsid w:val="00D06A73"/>
    <w:rsid w:val="00D125A5"/>
    <w:rsid w:val="00D128C4"/>
    <w:rsid w:val="00D16A13"/>
    <w:rsid w:val="00D20B62"/>
    <w:rsid w:val="00D330B3"/>
    <w:rsid w:val="00D333E5"/>
    <w:rsid w:val="00D351FD"/>
    <w:rsid w:val="00D469AE"/>
    <w:rsid w:val="00D47D9D"/>
    <w:rsid w:val="00D5021E"/>
    <w:rsid w:val="00D52D2A"/>
    <w:rsid w:val="00D57DA3"/>
    <w:rsid w:val="00D6210D"/>
    <w:rsid w:val="00D63564"/>
    <w:rsid w:val="00D63A74"/>
    <w:rsid w:val="00D71DD3"/>
    <w:rsid w:val="00D73E66"/>
    <w:rsid w:val="00D75A69"/>
    <w:rsid w:val="00D764D0"/>
    <w:rsid w:val="00D77BEC"/>
    <w:rsid w:val="00D82A24"/>
    <w:rsid w:val="00D8374F"/>
    <w:rsid w:val="00D85891"/>
    <w:rsid w:val="00D85997"/>
    <w:rsid w:val="00D86061"/>
    <w:rsid w:val="00D87401"/>
    <w:rsid w:val="00D90403"/>
    <w:rsid w:val="00DA1A0B"/>
    <w:rsid w:val="00DA2F7F"/>
    <w:rsid w:val="00DA490D"/>
    <w:rsid w:val="00DB7335"/>
    <w:rsid w:val="00DC77CB"/>
    <w:rsid w:val="00DD0B0C"/>
    <w:rsid w:val="00DD185D"/>
    <w:rsid w:val="00DD5D83"/>
    <w:rsid w:val="00DE4165"/>
    <w:rsid w:val="00DE7C27"/>
    <w:rsid w:val="00DF7369"/>
    <w:rsid w:val="00E0002A"/>
    <w:rsid w:val="00E00AEA"/>
    <w:rsid w:val="00E06602"/>
    <w:rsid w:val="00E07007"/>
    <w:rsid w:val="00E11CB1"/>
    <w:rsid w:val="00E12652"/>
    <w:rsid w:val="00E13024"/>
    <w:rsid w:val="00E145B4"/>
    <w:rsid w:val="00E167DE"/>
    <w:rsid w:val="00E17996"/>
    <w:rsid w:val="00E20ABC"/>
    <w:rsid w:val="00E256A1"/>
    <w:rsid w:val="00E25715"/>
    <w:rsid w:val="00E275B9"/>
    <w:rsid w:val="00E3438C"/>
    <w:rsid w:val="00E43E79"/>
    <w:rsid w:val="00E46B4E"/>
    <w:rsid w:val="00E46C0B"/>
    <w:rsid w:val="00E53532"/>
    <w:rsid w:val="00E5436A"/>
    <w:rsid w:val="00E60B06"/>
    <w:rsid w:val="00E626C4"/>
    <w:rsid w:val="00E63D14"/>
    <w:rsid w:val="00E67E27"/>
    <w:rsid w:val="00E73073"/>
    <w:rsid w:val="00E73FFC"/>
    <w:rsid w:val="00E759D6"/>
    <w:rsid w:val="00E75BF6"/>
    <w:rsid w:val="00E85F9C"/>
    <w:rsid w:val="00E862D5"/>
    <w:rsid w:val="00E94211"/>
    <w:rsid w:val="00E9471B"/>
    <w:rsid w:val="00E96218"/>
    <w:rsid w:val="00EA5429"/>
    <w:rsid w:val="00EA683C"/>
    <w:rsid w:val="00EB07D0"/>
    <w:rsid w:val="00EB4A88"/>
    <w:rsid w:val="00EB794F"/>
    <w:rsid w:val="00ED5BCD"/>
    <w:rsid w:val="00EE060A"/>
    <w:rsid w:val="00EE5946"/>
    <w:rsid w:val="00EE5FC2"/>
    <w:rsid w:val="00EE6F62"/>
    <w:rsid w:val="00EF0D6F"/>
    <w:rsid w:val="00EF277A"/>
    <w:rsid w:val="00EF5AA6"/>
    <w:rsid w:val="00EF5BE2"/>
    <w:rsid w:val="00EF5F13"/>
    <w:rsid w:val="00EF7163"/>
    <w:rsid w:val="00EF73CF"/>
    <w:rsid w:val="00F01686"/>
    <w:rsid w:val="00F03E3E"/>
    <w:rsid w:val="00F04CDD"/>
    <w:rsid w:val="00F04D3E"/>
    <w:rsid w:val="00F07FB7"/>
    <w:rsid w:val="00F13375"/>
    <w:rsid w:val="00F14419"/>
    <w:rsid w:val="00F1449A"/>
    <w:rsid w:val="00F1525C"/>
    <w:rsid w:val="00F21F45"/>
    <w:rsid w:val="00F23D1D"/>
    <w:rsid w:val="00F30DB3"/>
    <w:rsid w:val="00F3329B"/>
    <w:rsid w:val="00F34634"/>
    <w:rsid w:val="00F3668A"/>
    <w:rsid w:val="00F36773"/>
    <w:rsid w:val="00F36A7A"/>
    <w:rsid w:val="00F40816"/>
    <w:rsid w:val="00F40D71"/>
    <w:rsid w:val="00F431E9"/>
    <w:rsid w:val="00F43CB6"/>
    <w:rsid w:val="00F500A6"/>
    <w:rsid w:val="00F5311B"/>
    <w:rsid w:val="00F55C23"/>
    <w:rsid w:val="00F56135"/>
    <w:rsid w:val="00F65D37"/>
    <w:rsid w:val="00F661B0"/>
    <w:rsid w:val="00F70E79"/>
    <w:rsid w:val="00F70F2B"/>
    <w:rsid w:val="00F74E21"/>
    <w:rsid w:val="00F765B1"/>
    <w:rsid w:val="00F80162"/>
    <w:rsid w:val="00F866E0"/>
    <w:rsid w:val="00F877A5"/>
    <w:rsid w:val="00F9012D"/>
    <w:rsid w:val="00F91378"/>
    <w:rsid w:val="00F91810"/>
    <w:rsid w:val="00F927E8"/>
    <w:rsid w:val="00FA2A18"/>
    <w:rsid w:val="00FA4EE7"/>
    <w:rsid w:val="00FB3FBC"/>
    <w:rsid w:val="00FC0F38"/>
    <w:rsid w:val="00FC1265"/>
    <w:rsid w:val="00FC1F14"/>
    <w:rsid w:val="00FD168D"/>
    <w:rsid w:val="00FD42FB"/>
    <w:rsid w:val="00FD6C05"/>
    <w:rsid w:val="00FD6CE5"/>
    <w:rsid w:val="00FD6D97"/>
    <w:rsid w:val="00FD6F74"/>
    <w:rsid w:val="00FE0118"/>
    <w:rsid w:val="00FE0CEA"/>
    <w:rsid w:val="00FE1516"/>
    <w:rsid w:val="00FE4B5E"/>
    <w:rsid w:val="00FE5EE6"/>
    <w:rsid w:val="00FF1F9D"/>
    <w:rsid w:val="00FF4144"/>
    <w:rsid w:val="071F3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3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5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607DB"/>
    <w:pPr>
      <w:keepNext/>
      <w:outlineLvl w:val="0"/>
    </w:pPr>
    <w:rPr>
      <w:b/>
      <w:lang w:val="en-US"/>
    </w:rPr>
  </w:style>
  <w:style w:type="paragraph" w:styleId="Heading2">
    <w:name w:val="heading 2"/>
    <w:basedOn w:val="Normal"/>
    <w:next w:val="Normal"/>
    <w:link w:val="Heading2Char"/>
    <w:uiPriority w:val="9"/>
    <w:semiHidden/>
    <w:unhideWhenUsed/>
    <w:qFormat/>
    <w:rsid w:val="00F561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List Paragraph2,MAIN CONTENT,List Paragraph12,OBC Bullet,L"/>
    <w:basedOn w:val="Normal"/>
    <w:link w:val="ListParagraphChar"/>
    <w:uiPriority w:val="34"/>
    <w:qFormat/>
    <w:rsid w:val="009C79A9"/>
    <w:pPr>
      <w:ind w:left="720"/>
      <w:contextualSpacing/>
    </w:pPr>
  </w:style>
  <w:style w:type="paragraph" w:styleId="BalloonText">
    <w:name w:val="Balloon Text"/>
    <w:basedOn w:val="Normal"/>
    <w:link w:val="BalloonTextChar"/>
    <w:uiPriority w:val="99"/>
    <w:semiHidden/>
    <w:unhideWhenUsed/>
    <w:rsid w:val="00952B96"/>
    <w:rPr>
      <w:rFonts w:ascii="Tahoma" w:hAnsi="Tahoma" w:cs="Tahoma"/>
      <w:sz w:val="16"/>
      <w:szCs w:val="16"/>
    </w:rPr>
  </w:style>
  <w:style w:type="character" w:customStyle="1" w:styleId="BalloonTextChar">
    <w:name w:val="Balloon Text Char"/>
    <w:basedOn w:val="DefaultParagraphFont"/>
    <w:link w:val="BalloonText"/>
    <w:uiPriority w:val="99"/>
    <w:semiHidden/>
    <w:rsid w:val="00952B96"/>
    <w:rPr>
      <w:rFonts w:ascii="Tahoma" w:eastAsia="Times New Roman" w:hAnsi="Tahoma" w:cs="Tahoma"/>
      <w:sz w:val="16"/>
      <w:szCs w:val="16"/>
    </w:rPr>
  </w:style>
  <w:style w:type="paragraph" w:styleId="NormalWeb">
    <w:name w:val="Normal (Web)"/>
    <w:basedOn w:val="Normal"/>
    <w:uiPriority w:val="99"/>
    <w:semiHidden/>
    <w:unhideWhenUsed/>
    <w:rsid w:val="00F13375"/>
    <w:pPr>
      <w:spacing w:after="192"/>
    </w:pPr>
    <w:rPr>
      <w:rFonts w:eastAsia="Calibri"/>
      <w:szCs w:val="24"/>
      <w:lang w:eastAsia="en-GB"/>
    </w:rPr>
  </w:style>
  <w:style w:type="paragraph" w:styleId="Header">
    <w:name w:val="header"/>
    <w:basedOn w:val="Normal"/>
    <w:link w:val="HeaderChar"/>
    <w:uiPriority w:val="99"/>
    <w:unhideWhenUsed/>
    <w:rsid w:val="006F020A"/>
    <w:pPr>
      <w:tabs>
        <w:tab w:val="center" w:pos="4513"/>
        <w:tab w:val="right" w:pos="9026"/>
      </w:tabs>
    </w:pPr>
  </w:style>
  <w:style w:type="character" w:customStyle="1" w:styleId="HeaderChar">
    <w:name w:val="Header Char"/>
    <w:basedOn w:val="DefaultParagraphFont"/>
    <w:link w:val="Header"/>
    <w:uiPriority w:val="99"/>
    <w:rsid w:val="006F020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020A"/>
    <w:pPr>
      <w:tabs>
        <w:tab w:val="center" w:pos="4513"/>
        <w:tab w:val="right" w:pos="9026"/>
      </w:tabs>
    </w:pPr>
  </w:style>
  <w:style w:type="character" w:customStyle="1" w:styleId="FooterChar">
    <w:name w:val="Footer Char"/>
    <w:basedOn w:val="DefaultParagraphFont"/>
    <w:link w:val="Footer"/>
    <w:uiPriority w:val="99"/>
    <w:rsid w:val="006F020A"/>
    <w:rPr>
      <w:rFonts w:ascii="Times New Roman" w:eastAsia="Times New Roman" w:hAnsi="Times New Roman" w:cs="Times New Roman"/>
      <w:sz w:val="24"/>
      <w:szCs w:val="20"/>
    </w:rPr>
  </w:style>
  <w:style w:type="paragraph" w:styleId="NoSpacing">
    <w:name w:val="No Spacing"/>
    <w:uiPriority w:val="1"/>
    <w:qFormat/>
    <w:rsid w:val="00541C7C"/>
    <w:pPr>
      <w:spacing w:after="0" w:line="240" w:lineRule="auto"/>
    </w:pPr>
  </w:style>
  <w:style w:type="paragraph" w:styleId="PlainText">
    <w:name w:val="Plain Text"/>
    <w:basedOn w:val="Normal"/>
    <w:link w:val="PlainTextChar"/>
    <w:uiPriority w:val="99"/>
    <w:semiHidden/>
    <w:unhideWhenUsed/>
    <w:rsid w:val="00362E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62EF5"/>
    <w:rPr>
      <w:rFonts w:ascii="Calibri" w:hAnsi="Calibri"/>
      <w:szCs w:val="21"/>
    </w:rPr>
  </w:style>
  <w:style w:type="character" w:styleId="Hyperlink">
    <w:name w:val="Hyperlink"/>
    <w:basedOn w:val="DefaultParagraphFont"/>
    <w:uiPriority w:val="99"/>
    <w:unhideWhenUsed/>
    <w:rsid w:val="00362EF5"/>
    <w:rPr>
      <w:color w:val="0000FF"/>
      <w:u w:val="single"/>
    </w:rPr>
  </w:style>
  <w:style w:type="table" w:styleId="TableGrid">
    <w:name w:val="Table Grid"/>
    <w:basedOn w:val="TableNormal"/>
    <w:uiPriority w:val="39"/>
    <w:rsid w:val="002E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7576"/>
    <w:rPr>
      <w:sz w:val="16"/>
      <w:szCs w:val="16"/>
    </w:rPr>
  </w:style>
  <w:style w:type="paragraph" w:styleId="CommentText">
    <w:name w:val="annotation text"/>
    <w:basedOn w:val="Normal"/>
    <w:link w:val="CommentTextChar"/>
    <w:uiPriority w:val="99"/>
    <w:semiHidden/>
    <w:unhideWhenUsed/>
    <w:rsid w:val="008F7576"/>
    <w:rPr>
      <w:sz w:val="20"/>
    </w:rPr>
  </w:style>
  <w:style w:type="character" w:customStyle="1" w:styleId="CommentTextChar">
    <w:name w:val="Comment Text Char"/>
    <w:basedOn w:val="DefaultParagraphFont"/>
    <w:link w:val="CommentText"/>
    <w:uiPriority w:val="99"/>
    <w:semiHidden/>
    <w:rsid w:val="008F75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576"/>
    <w:rPr>
      <w:b/>
      <w:bCs/>
    </w:rPr>
  </w:style>
  <w:style w:type="character" w:customStyle="1" w:styleId="CommentSubjectChar">
    <w:name w:val="Comment Subject Char"/>
    <w:basedOn w:val="CommentTextChar"/>
    <w:link w:val="CommentSubject"/>
    <w:uiPriority w:val="99"/>
    <w:semiHidden/>
    <w:rsid w:val="008F7576"/>
    <w:rPr>
      <w:rFonts w:ascii="Times New Roman" w:eastAsia="Times New Roman" w:hAnsi="Times New Roman" w:cs="Times New Roman"/>
      <w:b/>
      <w:bCs/>
      <w:sz w:val="20"/>
      <w:szCs w:val="20"/>
    </w:rPr>
  </w:style>
  <w:style w:type="paragraph" w:customStyle="1" w:styleId="Default">
    <w:name w:val="Default"/>
    <w:rsid w:val="00A175E7"/>
    <w:pPr>
      <w:autoSpaceDE w:val="0"/>
      <w:autoSpaceDN w:val="0"/>
      <w:adjustRightInd w:val="0"/>
      <w:spacing w:after="0" w:line="240" w:lineRule="auto"/>
    </w:pPr>
    <w:rPr>
      <w:rFonts w:ascii="Symbol" w:hAnsi="Symbol" w:cs="Symbol"/>
      <w:color w:val="000000"/>
      <w:sz w:val="24"/>
      <w:szCs w:val="24"/>
    </w:rPr>
  </w:style>
  <w:style w:type="character" w:customStyle="1" w:styleId="Heading1Char">
    <w:name w:val="Heading 1 Char"/>
    <w:basedOn w:val="DefaultParagraphFont"/>
    <w:link w:val="Heading1"/>
    <w:rsid w:val="009607DB"/>
    <w:rPr>
      <w:rFonts w:ascii="Times New Roman" w:eastAsia="Times New Roman" w:hAnsi="Times New Roman" w:cs="Times New Roman"/>
      <w:b/>
      <w:sz w:val="24"/>
      <w:szCs w:val="20"/>
      <w:lang w:val="en-US"/>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qFormat/>
    <w:locked/>
    <w:rsid w:val="00851E07"/>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B237B2"/>
    <w:rPr>
      <w:color w:val="605E5C"/>
      <w:shd w:val="clear" w:color="auto" w:fill="E1DFDD"/>
    </w:rPr>
  </w:style>
  <w:style w:type="character" w:styleId="FollowedHyperlink">
    <w:name w:val="FollowedHyperlink"/>
    <w:basedOn w:val="DefaultParagraphFont"/>
    <w:uiPriority w:val="99"/>
    <w:semiHidden/>
    <w:unhideWhenUsed/>
    <w:rsid w:val="00694C58"/>
    <w:rPr>
      <w:color w:val="800080" w:themeColor="followedHyperlink"/>
      <w:u w:val="single"/>
    </w:rPr>
  </w:style>
  <w:style w:type="character" w:customStyle="1" w:styleId="Heading2Char">
    <w:name w:val="Heading 2 Char"/>
    <w:basedOn w:val="DefaultParagraphFont"/>
    <w:link w:val="Heading2"/>
    <w:uiPriority w:val="9"/>
    <w:semiHidden/>
    <w:rsid w:val="00F5613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5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607DB"/>
    <w:pPr>
      <w:keepNext/>
      <w:outlineLvl w:val="0"/>
    </w:pPr>
    <w:rPr>
      <w:b/>
      <w:lang w:val="en-US"/>
    </w:rPr>
  </w:style>
  <w:style w:type="paragraph" w:styleId="Heading2">
    <w:name w:val="heading 2"/>
    <w:basedOn w:val="Normal"/>
    <w:next w:val="Normal"/>
    <w:link w:val="Heading2Char"/>
    <w:uiPriority w:val="9"/>
    <w:semiHidden/>
    <w:unhideWhenUsed/>
    <w:qFormat/>
    <w:rsid w:val="00F561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List Paragraph2,MAIN CONTENT,List Paragraph12,OBC Bullet,L"/>
    <w:basedOn w:val="Normal"/>
    <w:link w:val="ListParagraphChar"/>
    <w:uiPriority w:val="34"/>
    <w:qFormat/>
    <w:rsid w:val="009C79A9"/>
    <w:pPr>
      <w:ind w:left="720"/>
      <w:contextualSpacing/>
    </w:pPr>
  </w:style>
  <w:style w:type="paragraph" w:styleId="BalloonText">
    <w:name w:val="Balloon Text"/>
    <w:basedOn w:val="Normal"/>
    <w:link w:val="BalloonTextChar"/>
    <w:uiPriority w:val="99"/>
    <w:semiHidden/>
    <w:unhideWhenUsed/>
    <w:rsid w:val="00952B96"/>
    <w:rPr>
      <w:rFonts w:ascii="Tahoma" w:hAnsi="Tahoma" w:cs="Tahoma"/>
      <w:sz w:val="16"/>
      <w:szCs w:val="16"/>
    </w:rPr>
  </w:style>
  <w:style w:type="character" w:customStyle="1" w:styleId="BalloonTextChar">
    <w:name w:val="Balloon Text Char"/>
    <w:basedOn w:val="DefaultParagraphFont"/>
    <w:link w:val="BalloonText"/>
    <w:uiPriority w:val="99"/>
    <w:semiHidden/>
    <w:rsid w:val="00952B96"/>
    <w:rPr>
      <w:rFonts w:ascii="Tahoma" w:eastAsia="Times New Roman" w:hAnsi="Tahoma" w:cs="Tahoma"/>
      <w:sz w:val="16"/>
      <w:szCs w:val="16"/>
    </w:rPr>
  </w:style>
  <w:style w:type="paragraph" w:styleId="NormalWeb">
    <w:name w:val="Normal (Web)"/>
    <w:basedOn w:val="Normal"/>
    <w:uiPriority w:val="99"/>
    <w:semiHidden/>
    <w:unhideWhenUsed/>
    <w:rsid w:val="00F13375"/>
    <w:pPr>
      <w:spacing w:after="192"/>
    </w:pPr>
    <w:rPr>
      <w:rFonts w:eastAsia="Calibri"/>
      <w:szCs w:val="24"/>
      <w:lang w:eastAsia="en-GB"/>
    </w:rPr>
  </w:style>
  <w:style w:type="paragraph" w:styleId="Header">
    <w:name w:val="header"/>
    <w:basedOn w:val="Normal"/>
    <w:link w:val="HeaderChar"/>
    <w:uiPriority w:val="99"/>
    <w:unhideWhenUsed/>
    <w:rsid w:val="006F020A"/>
    <w:pPr>
      <w:tabs>
        <w:tab w:val="center" w:pos="4513"/>
        <w:tab w:val="right" w:pos="9026"/>
      </w:tabs>
    </w:pPr>
  </w:style>
  <w:style w:type="character" w:customStyle="1" w:styleId="HeaderChar">
    <w:name w:val="Header Char"/>
    <w:basedOn w:val="DefaultParagraphFont"/>
    <w:link w:val="Header"/>
    <w:uiPriority w:val="99"/>
    <w:rsid w:val="006F020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020A"/>
    <w:pPr>
      <w:tabs>
        <w:tab w:val="center" w:pos="4513"/>
        <w:tab w:val="right" w:pos="9026"/>
      </w:tabs>
    </w:pPr>
  </w:style>
  <w:style w:type="character" w:customStyle="1" w:styleId="FooterChar">
    <w:name w:val="Footer Char"/>
    <w:basedOn w:val="DefaultParagraphFont"/>
    <w:link w:val="Footer"/>
    <w:uiPriority w:val="99"/>
    <w:rsid w:val="006F020A"/>
    <w:rPr>
      <w:rFonts w:ascii="Times New Roman" w:eastAsia="Times New Roman" w:hAnsi="Times New Roman" w:cs="Times New Roman"/>
      <w:sz w:val="24"/>
      <w:szCs w:val="20"/>
    </w:rPr>
  </w:style>
  <w:style w:type="paragraph" w:styleId="NoSpacing">
    <w:name w:val="No Spacing"/>
    <w:uiPriority w:val="1"/>
    <w:qFormat/>
    <w:rsid w:val="00541C7C"/>
    <w:pPr>
      <w:spacing w:after="0" w:line="240" w:lineRule="auto"/>
    </w:pPr>
  </w:style>
  <w:style w:type="paragraph" w:styleId="PlainText">
    <w:name w:val="Plain Text"/>
    <w:basedOn w:val="Normal"/>
    <w:link w:val="PlainTextChar"/>
    <w:uiPriority w:val="99"/>
    <w:semiHidden/>
    <w:unhideWhenUsed/>
    <w:rsid w:val="00362E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62EF5"/>
    <w:rPr>
      <w:rFonts w:ascii="Calibri" w:hAnsi="Calibri"/>
      <w:szCs w:val="21"/>
    </w:rPr>
  </w:style>
  <w:style w:type="character" w:styleId="Hyperlink">
    <w:name w:val="Hyperlink"/>
    <w:basedOn w:val="DefaultParagraphFont"/>
    <w:uiPriority w:val="99"/>
    <w:unhideWhenUsed/>
    <w:rsid w:val="00362EF5"/>
    <w:rPr>
      <w:color w:val="0000FF"/>
      <w:u w:val="single"/>
    </w:rPr>
  </w:style>
  <w:style w:type="table" w:styleId="TableGrid">
    <w:name w:val="Table Grid"/>
    <w:basedOn w:val="TableNormal"/>
    <w:uiPriority w:val="39"/>
    <w:rsid w:val="002E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7576"/>
    <w:rPr>
      <w:sz w:val="16"/>
      <w:szCs w:val="16"/>
    </w:rPr>
  </w:style>
  <w:style w:type="paragraph" w:styleId="CommentText">
    <w:name w:val="annotation text"/>
    <w:basedOn w:val="Normal"/>
    <w:link w:val="CommentTextChar"/>
    <w:uiPriority w:val="99"/>
    <w:semiHidden/>
    <w:unhideWhenUsed/>
    <w:rsid w:val="008F7576"/>
    <w:rPr>
      <w:sz w:val="20"/>
    </w:rPr>
  </w:style>
  <w:style w:type="character" w:customStyle="1" w:styleId="CommentTextChar">
    <w:name w:val="Comment Text Char"/>
    <w:basedOn w:val="DefaultParagraphFont"/>
    <w:link w:val="CommentText"/>
    <w:uiPriority w:val="99"/>
    <w:semiHidden/>
    <w:rsid w:val="008F75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576"/>
    <w:rPr>
      <w:b/>
      <w:bCs/>
    </w:rPr>
  </w:style>
  <w:style w:type="character" w:customStyle="1" w:styleId="CommentSubjectChar">
    <w:name w:val="Comment Subject Char"/>
    <w:basedOn w:val="CommentTextChar"/>
    <w:link w:val="CommentSubject"/>
    <w:uiPriority w:val="99"/>
    <w:semiHidden/>
    <w:rsid w:val="008F7576"/>
    <w:rPr>
      <w:rFonts w:ascii="Times New Roman" w:eastAsia="Times New Roman" w:hAnsi="Times New Roman" w:cs="Times New Roman"/>
      <w:b/>
      <w:bCs/>
      <w:sz w:val="20"/>
      <w:szCs w:val="20"/>
    </w:rPr>
  </w:style>
  <w:style w:type="paragraph" w:customStyle="1" w:styleId="Default">
    <w:name w:val="Default"/>
    <w:rsid w:val="00A175E7"/>
    <w:pPr>
      <w:autoSpaceDE w:val="0"/>
      <w:autoSpaceDN w:val="0"/>
      <w:adjustRightInd w:val="0"/>
      <w:spacing w:after="0" w:line="240" w:lineRule="auto"/>
    </w:pPr>
    <w:rPr>
      <w:rFonts w:ascii="Symbol" w:hAnsi="Symbol" w:cs="Symbol"/>
      <w:color w:val="000000"/>
      <w:sz w:val="24"/>
      <w:szCs w:val="24"/>
    </w:rPr>
  </w:style>
  <w:style w:type="character" w:customStyle="1" w:styleId="Heading1Char">
    <w:name w:val="Heading 1 Char"/>
    <w:basedOn w:val="DefaultParagraphFont"/>
    <w:link w:val="Heading1"/>
    <w:rsid w:val="009607DB"/>
    <w:rPr>
      <w:rFonts w:ascii="Times New Roman" w:eastAsia="Times New Roman" w:hAnsi="Times New Roman" w:cs="Times New Roman"/>
      <w:b/>
      <w:sz w:val="24"/>
      <w:szCs w:val="20"/>
      <w:lang w:val="en-US"/>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qFormat/>
    <w:locked/>
    <w:rsid w:val="00851E07"/>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B237B2"/>
    <w:rPr>
      <w:color w:val="605E5C"/>
      <w:shd w:val="clear" w:color="auto" w:fill="E1DFDD"/>
    </w:rPr>
  </w:style>
  <w:style w:type="character" w:styleId="FollowedHyperlink">
    <w:name w:val="FollowedHyperlink"/>
    <w:basedOn w:val="DefaultParagraphFont"/>
    <w:uiPriority w:val="99"/>
    <w:semiHidden/>
    <w:unhideWhenUsed/>
    <w:rsid w:val="00694C58"/>
    <w:rPr>
      <w:color w:val="800080" w:themeColor="followedHyperlink"/>
      <w:u w:val="single"/>
    </w:rPr>
  </w:style>
  <w:style w:type="character" w:customStyle="1" w:styleId="Heading2Char">
    <w:name w:val="Heading 2 Char"/>
    <w:basedOn w:val="DefaultParagraphFont"/>
    <w:link w:val="Heading2"/>
    <w:uiPriority w:val="9"/>
    <w:semiHidden/>
    <w:rsid w:val="00F561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345">
      <w:bodyDiv w:val="1"/>
      <w:marLeft w:val="0"/>
      <w:marRight w:val="0"/>
      <w:marTop w:val="0"/>
      <w:marBottom w:val="0"/>
      <w:divBdr>
        <w:top w:val="none" w:sz="0" w:space="0" w:color="auto"/>
        <w:left w:val="none" w:sz="0" w:space="0" w:color="auto"/>
        <w:bottom w:val="none" w:sz="0" w:space="0" w:color="auto"/>
        <w:right w:val="none" w:sz="0" w:space="0" w:color="auto"/>
      </w:divBdr>
    </w:div>
    <w:div w:id="158692760">
      <w:bodyDiv w:val="1"/>
      <w:marLeft w:val="0"/>
      <w:marRight w:val="0"/>
      <w:marTop w:val="0"/>
      <w:marBottom w:val="0"/>
      <w:divBdr>
        <w:top w:val="none" w:sz="0" w:space="0" w:color="auto"/>
        <w:left w:val="none" w:sz="0" w:space="0" w:color="auto"/>
        <w:bottom w:val="none" w:sz="0" w:space="0" w:color="auto"/>
        <w:right w:val="none" w:sz="0" w:space="0" w:color="auto"/>
      </w:divBdr>
    </w:div>
    <w:div w:id="190727789">
      <w:bodyDiv w:val="1"/>
      <w:marLeft w:val="0"/>
      <w:marRight w:val="0"/>
      <w:marTop w:val="0"/>
      <w:marBottom w:val="0"/>
      <w:divBdr>
        <w:top w:val="none" w:sz="0" w:space="0" w:color="auto"/>
        <w:left w:val="none" w:sz="0" w:space="0" w:color="auto"/>
        <w:bottom w:val="none" w:sz="0" w:space="0" w:color="auto"/>
        <w:right w:val="none" w:sz="0" w:space="0" w:color="auto"/>
      </w:divBdr>
    </w:div>
    <w:div w:id="218786831">
      <w:bodyDiv w:val="1"/>
      <w:marLeft w:val="0"/>
      <w:marRight w:val="0"/>
      <w:marTop w:val="0"/>
      <w:marBottom w:val="0"/>
      <w:divBdr>
        <w:top w:val="none" w:sz="0" w:space="0" w:color="auto"/>
        <w:left w:val="none" w:sz="0" w:space="0" w:color="auto"/>
        <w:bottom w:val="none" w:sz="0" w:space="0" w:color="auto"/>
        <w:right w:val="none" w:sz="0" w:space="0" w:color="auto"/>
      </w:divBdr>
    </w:div>
    <w:div w:id="236596342">
      <w:bodyDiv w:val="1"/>
      <w:marLeft w:val="0"/>
      <w:marRight w:val="0"/>
      <w:marTop w:val="0"/>
      <w:marBottom w:val="0"/>
      <w:divBdr>
        <w:top w:val="none" w:sz="0" w:space="0" w:color="auto"/>
        <w:left w:val="none" w:sz="0" w:space="0" w:color="auto"/>
        <w:bottom w:val="none" w:sz="0" w:space="0" w:color="auto"/>
        <w:right w:val="none" w:sz="0" w:space="0" w:color="auto"/>
      </w:divBdr>
    </w:div>
    <w:div w:id="370233697">
      <w:bodyDiv w:val="1"/>
      <w:marLeft w:val="0"/>
      <w:marRight w:val="0"/>
      <w:marTop w:val="0"/>
      <w:marBottom w:val="0"/>
      <w:divBdr>
        <w:top w:val="none" w:sz="0" w:space="0" w:color="auto"/>
        <w:left w:val="none" w:sz="0" w:space="0" w:color="auto"/>
        <w:bottom w:val="none" w:sz="0" w:space="0" w:color="auto"/>
        <w:right w:val="none" w:sz="0" w:space="0" w:color="auto"/>
      </w:divBdr>
    </w:div>
    <w:div w:id="530143864">
      <w:bodyDiv w:val="1"/>
      <w:marLeft w:val="0"/>
      <w:marRight w:val="0"/>
      <w:marTop w:val="0"/>
      <w:marBottom w:val="0"/>
      <w:divBdr>
        <w:top w:val="none" w:sz="0" w:space="0" w:color="auto"/>
        <w:left w:val="none" w:sz="0" w:space="0" w:color="auto"/>
        <w:bottom w:val="none" w:sz="0" w:space="0" w:color="auto"/>
        <w:right w:val="none" w:sz="0" w:space="0" w:color="auto"/>
      </w:divBdr>
    </w:div>
    <w:div w:id="558632843">
      <w:bodyDiv w:val="1"/>
      <w:marLeft w:val="0"/>
      <w:marRight w:val="0"/>
      <w:marTop w:val="0"/>
      <w:marBottom w:val="0"/>
      <w:divBdr>
        <w:top w:val="none" w:sz="0" w:space="0" w:color="auto"/>
        <w:left w:val="none" w:sz="0" w:space="0" w:color="auto"/>
        <w:bottom w:val="none" w:sz="0" w:space="0" w:color="auto"/>
        <w:right w:val="none" w:sz="0" w:space="0" w:color="auto"/>
      </w:divBdr>
    </w:div>
    <w:div w:id="562183558">
      <w:bodyDiv w:val="1"/>
      <w:marLeft w:val="0"/>
      <w:marRight w:val="0"/>
      <w:marTop w:val="0"/>
      <w:marBottom w:val="0"/>
      <w:divBdr>
        <w:top w:val="none" w:sz="0" w:space="0" w:color="auto"/>
        <w:left w:val="none" w:sz="0" w:space="0" w:color="auto"/>
        <w:bottom w:val="none" w:sz="0" w:space="0" w:color="auto"/>
        <w:right w:val="none" w:sz="0" w:space="0" w:color="auto"/>
      </w:divBdr>
    </w:div>
    <w:div w:id="650673420">
      <w:bodyDiv w:val="1"/>
      <w:marLeft w:val="0"/>
      <w:marRight w:val="0"/>
      <w:marTop w:val="0"/>
      <w:marBottom w:val="0"/>
      <w:divBdr>
        <w:top w:val="none" w:sz="0" w:space="0" w:color="auto"/>
        <w:left w:val="none" w:sz="0" w:space="0" w:color="auto"/>
        <w:bottom w:val="none" w:sz="0" w:space="0" w:color="auto"/>
        <w:right w:val="none" w:sz="0" w:space="0" w:color="auto"/>
      </w:divBdr>
    </w:div>
    <w:div w:id="789324425">
      <w:bodyDiv w:val="1"/>
      <w:marLeft w:val="0"/>
      <w:marRight w:val="0"/>
      <w:marTop w:val="0"/>
      <w:marBottom w:val="0"/>
      <w:divBdr>
        <w:top w:val="none" w:sz="0" w:space="0" w:color="auto"/>
        <w:left w:val="none" w:sz="0" w:space="0" w:color="auto"/>
        <w:bottom w:val="none" w:sz="0" w:space="0" w:color="auto"/>
        <w:right w:val="none" w:sz="0" w:space="0" w:color="auto"/>
      </w:divBdr>
    </w:div>
    <w:div w:id="805704940">
      <w:bodyDiv w:val="1"/>
      <w:marLeft w:val="0"/>
      <w:marRight w:val="0"/>
      <w:marTop w:val="0"/>
      <w:marBottom w:val="0"/>
      <w:divBdr>
        <w:top w:val="none" w:sz="0" w:space="0" w:color="auto"/>
        <w:left w:val="none" w:sz="0" w:space="0" w:color="auto"/>
        <w:bottom w:val="none" w:sz="0" w:space="0" w:color="auto"/>
        <w:right w:val="none" w:sz="0" w:space="0" w:color="auto"/>
      </w:divBdr>
    </w:div>
    <w:div w:id="867764433">
      <w:bodyDiv w:val="1"/>
      <w:marLeft w:val="0"/>
      <w:marRight w:val="0"/>
      <w:marTop w:val="0"/>
      <w:marBottom w:val="0"/>
      <w:divBdr>
        <w:top w:val="none" w:sz="0" w:space="0" w:color="auto"/>
        <w:left w:val="none" w:sz="0" w:space="0" w:color="auto"/>
        <w:bottom w:val="none" w:sz="0" w:space="0" w:color="auto"/>
        <w:right w:val="none" w:sz="0" w:space="0" w:color="auto"/>
      </w:divBdr>
    </w:div>
    <w:div w:id="955793622">
      <w:bodyDiv w:val="1"/>
      <w:marLeft w:val="0"/>
      <w:marRight w:val="0"/>
      <w:marTop w:val="0"/>
      <w:marBottom w:val="0"/>
      <w:divBdr>
        <w:top w:val="none" w:sz="0" w:space="0" w:color="auto"/>
        <w:left w:val="none" w:sz="0" w:space="0" w:color="auto"/>
        <w:bottom w:val="none" w:sz="0" w:space="0" w:color="auto"/>
        <w:right w:val="none" w:sz="0" w:space="0" w:color="auto"/>
      </w:divBdr>
    </w:div>
    <w:div w:id="1089616411">
      <w:bodyDiv w:val="1"/>
      <w:marLeft w:val="0"/>
      <w:marRight w:val="0"/>
      <w:marTop w:val="0"/>
      <w:marBottom w:val="0"/>
      <w:divBdr>
        <w:top w:val="none" w:sz="0" w:space="0" w:color="auto"/>
        <w:left w:val="none" w:sz="0" w:space="0" w:color="auto"/>
        <w:bottom w:val="none" w:sz="0" w:space="0" w:color="auto"/>
        <w:right w:val="none" w:sz="0" w:space="0" w:color="auto"/>
      </w:divBdr>
    </w:div>
    <w:div w:id="1175993489">
      <w:bodyDiv w:val="1"/>
      <w:marLeft w:val="0"/>
      <w:marRight w:val="0"/>
      <w:marTop w:val="0"/>
      <w:marBottom w:val="0"/>
      <w:divBdr>
        <w:top w:val="none" w:sz="0" w:space="0" w:color="auto"/>
        <w:left w:val="none" w:sz="0" w:space="0" w:color="auto"/>
        <w:bottom w:val="none" w:sz="0" w:space="0" w:color="auto"/>
        <w:right w:val="none" w:sz="0" w:space="0" w:color="auto"/>
      </w:divBdr>
    </w:div>
    <w:div w:id="1244995057">
      <w:bodyDiv w:val="1"/>
      <w:marLeft w:val="0"/>
      <w:marRight w:val="0"/>
      <w:marTop w:val="0"/>
      <w:marBottom w:val="0"/>
      <w:divBdr>
        <w:top w:val="none" w:sz="0" w:space="0" w:color="auto"/>
        <w:left w:val="none" w:sz="0" w:space="0" w:color="auto"/>
        <w:bottom w:val="none" w:sz="0" w:space="0" w:color="auto"/>
        <w:right w:val="none" w:sz="0" w:space="0" w:color="auto"/>
      </w:divBdr>
    </w:div>
    <w:div w:id="1253319809">
      <w:bodyDiv w:val="1"/>
      <w:marLeft w:val="0"/>
      <w:marRight w:val="0"/>
      <w:marTop w:val="0"/>
      <w:marBottom w:val="0"/>
      <w:divBdr>
        <w:top w:val="none" w:sz="0" w:space="0" w:color="auto"/>
        <w:left w:val="none" w:sz="0" w:space="0" w:color="auto"/>
        <w:bottom w:val="none" w:sz="0" w:space="0" w:color="auto"/>
        <w:right w:val="none" w:sz="0" w:space="0" w:color="auto"/>
      </w:divBdr>
    </w:div>
    <w:div w:id="1267153024">
      <w:bodyDiv w:val="1"/>
      <w:marLeft w:val="0"/>
      <w:marRight w:val="0"/>
      <w:marTop w:val="0"/>
      <w:marBottom w:val="0"/>
      <w:divBdr>
        <w:top w:val="none" w:sz="0" w:space="0" w:color="auto"/>
        <w:left w:val="none" w:sz="0" w:space="0" w:color="auto"/>
        <w:bottom w:val="none" w:sz="0" w:space="0" w:color="auto"/>
        <w:right w:val="none" w:sz="0" w:space="0" w:color="auto"/>
      </w:divBdr>
    </w:div>
    <w:div w:id="1280256079">
      <w:bodyDiv w:val="1"/>
      <w:marLeft w:val="0"/>
      <w:marRight w:val="0"/>
      <w:marTop w:val="0"/>
      <w:marBottom w:val="0"/>
      <w:divBdr>
        <w:top w:val="none" w:sz="0" w:space="0" w:color="auto"/>
        <w:left w:val="none" w:sz="0" w:space="0" w:color="auto"/>
        <w:bottom w:val="none" w:sz="0" w:space="0" w:color="auto"/>
        <w:right w:val="none" w:sz="0" w:space="0" w:color="auto"/>
      </w:divBdr>
    </w:div>
    <w:div w:id="1363018064">
      <w:bodyDiv w:val="1"/>
      <w:marLeft w:val="0"/>
      <w:marRight w:val="0"/>
      <w:marTop w:val="0"/>
      <w:marBottom w:val="0"/>
      <w:divBdr>
        <w:top w:val="none" w:sz="0" w:space="0" w:color="auto"/>
        <w:left w:val="none" w:sz="0" w:space="0" w:color="auto"/>
        <w:bottom w:val="none" w:sz="0" w:space="0" w:color="auto"/>
        <w:right w:val="none" w:sz="0" w:space="0" w:color="auto"/>
      </w:divBdr>
    </w:div>
    <w:div w:id="1459451845">
      <w:bodyDiv w:val="1"/>
      <w:marLeft w:val="0"/>
      <w:marRight w:val="0"/>
      <w:marTop w:val="0"/>
      <w:marBottom w:val="0"/>
      <w:divBdr>
        <w:top w:val="none" w:sz="0" w:space="0" w:color="auto"/>
        <w:left w:val="none" w:sz="0" w:space="0" w:color="auto"/>
        <w:bottom w:val="none" w:sz="0" w:space="0" w:color="auto"/>
        <w:right w:val="none" w:sz="0" w:space="0" w:color="auto"/>
      </w:divBdr>
    </w:div>
    <w:div w:id="1561133409">
      <w:bodyDiv w:val="1"/>
      <w:marLeft w:val="0"/>
      <w:marRight w:val="0"/>
      <w:marTop w:val="0"/>
      <w:marBottom w:val="0"/>
      <w:divBdr>
        <w:top w:val="none" w:sz="0" w:space="0" w:color="auto"/>
        <w:left w:val="none" w:sz="0" w:space="0" w:color="auto"/>
        <w:bottom w:val="none" w:sz="0" w:space="0" w:color="auto"/>
        <w:right w:val="none" w:sz="0" w:space="0" w:color="auto"/>
      </w:divBdr>
    </w:div>
    <w:div w:id="1687050688">
      <w:bodyDiv w:val="1"/>
      <w:marLeft w:val="0"/>
      <w:marRight w:val="0"/>
      <w:marTop w:val="0"/>
      <w:marBottom w:val="0"/>
      <w:divBdr>
        <w:top w:val="none" w:sz="0" w:space="0" w:color="auto"/>
        <w:left w:val="none" w:sz="0" w:space="0" w:color="auto"/>
        <w:bottom w:val="none" w:sz="0" w:space="0" w:color="auto"/>
        <w:right w:val="none" w:sz="0" w:space="0" w:color="auto"/>
      </w:divBdr>
    </w:div>
    <w:div w:id="1857770286">
      <w:bodyDiv w:val="1"/>
      <w:marLeft w:val="0"/>
      <w:marRight w:val="0"/>
      <w:marTop w:val="0"/>
      <w:marBottom w:val="0"/>
      <w:divBdr>
        <w:top w:val="none" w:sz="0" w:space="0" w:color="auto"/>
        <w:left w:val="none" w:sz="0" w:space="0" w:color="auto"/>
        <w:bottom w:val="none" w:sz="0" w:space="0" w:color="auto"/>
        <w:right w:val="none" w:sz="0" w:space="0" w:color="auto"/>
      </w:divBdr>
    </w:div>
    <w:div w:id="20225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5.png"/><Relationship Id="rId21" Type="http://schemas.openxmlformats.org/officeDocument/2006/relationships/hyperlink" Target="https://www.gov.uk/government/publications/adult-education-budget-aeb-funding-rules-2023-to-2024/esfa-funded-adult-education-budget-funding-rules-2023-to-2024" TargetMode="Externa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assets.publishing.service.gov.uk/government/uploads/system/uploads/attachment_data/file/1147131/16_to_19_funding_guidance_Regulations_2023_to_2024-Final_Draft_1_AR_commsME__1_.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www.gov.uk/find-local-council" TargetMode="External"/><Relationship Id="rId16" Type="http://schemas.openxmlformats.org/officeDocument/2006/relationships/hyperlink" Target="https://api.liverpoolcityregion-ca.gov.uk/wp-content/uploads/2023/10/LCRCA-AEB-funding-rules-2023-to-2024-June-2023.pdf"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DE67A876F5142ACA657D5EFED5D05" ma:contentTypeVersion="10" ma:contentTypeDescription="Create a new document." ma:contentTypeScope="" ma:versionID="af4d18922d782083758ff65c4b807401">
  <xsd:schema xmlns:xsd="http://www.w3.org/2001/XMLSchema" xmlns:xs="http://www.w3.org/2001/XMLSchema" xmlns:p="http://schemas.microsoft.com/office/2006/metadata/properties" xmlns:ns3="58866bf6-9aaf-40a2-a182-08774a381ec2" targetNamespace="http://schemas.microsoft.com/office/2006/metadata/properties" ma:root="true" ma:fieldsID="af18aa509782a29da21b5a3a8de72509" ns3:_="">
    <xsd:import namespace="58866bf6-9aaf-40a2-a182-08774a381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66bf6-9aaf-40a2-a182-08774a381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0D58-2887-48EC-8425-7D9C4BA67D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753E5-6699-4503-AD9F-6E4A66B71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66bf6-9aaf-40a2-a182-08774a381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E251D-DA50-48C5-904C-50A394B0C671}">
  <ds:schemaRefs>
    <ds:schemaRef ds:uri="http://schemas.microsoft.com/sharepoint/v3/contenttype/forms"/>
  </ds:schemaRefs>
</ds:datastoreItem>
</file>

<file path=customXml/itemProps4.xml><?xml version="1.0" encoding="utf-8"?>
<ds:datastoreItem xmlns:ds="http://schemas.openxmlformats.org/officeDocument/2006/customXml" ds:itemID="{C9454B5F-56CD-8345-82B0-8659578A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2029</Words>
  <Characters>11567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Liverpool Community College</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KUMAR, Nicola</dc:creator>
  <cp:lastModifiedBy>chris carter</cp:lastModifiedBy>
  <cp:revision>3</cp:revision>
  <cp:lastPrinted>2023-11-10T22:17:00Z</cp:lastPrinted>
  <dcterms:created xsi:type="dcterms:W3CDTF">2023-11-10T22:17:00Z</dcterms:created>
  <dcterms:modified xsi:type="dcterms:W3CDTF">2023-11-10T22:18:00Z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0x0101005D5DE67A876F5142ACA657D5EFED5D05</vt:lpwstr>
  </property>
</Properties>
</file>